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F45F09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目</w:t>
      </w:r>
      <w:r>
        <w:rPr>
          <w:rFonts w:hint="eastAsia" w:ascii="Arial" w:hAnsi="Arial"/>
          <w:b/>
          <w:sz w:val="24"/>
        </w:rPr>
        <w:t xml:space="preserve">   </w:t>
      </w:r>
      <w:r>
        <w:rPr>
          <w:rFonts w:ascii="Arial" w:hAnsi="Arial"/>
          <w:b/>
          <w:sz w:val="24"/>
        </w:rPr>
        <w:t>录</w:t>
      </w:r>
    </w:p>
    <w:p w14:paraId="7A9CDF62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"_Toc101533868" </w:instrText>
      </w:r>
      <w:r>
        <w:fldChar w:fldCharType="separate"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1.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总则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_Toc101533868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93CEE82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"_Toc101533869" </w:instrText>
      </w:r>
      <w:r>
        <w:fldChar w:fldCharType="separate"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2.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适用的法规和指南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_Toc101533869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2940ECDB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"_Toc101533870" </w:instrText>
      </w:r>
      <w:r>
        <w:fldChar w:fldCharType="separate"/>
      </w:r>
      <w:r>
        <w:rPr>
          <w:rStyle w:val="37"/>
          <w:b w:val="0"/>
          <w:color w:val="auto"/>
          <w:sz w:val="24"/>
          <w:szCs w:val="24"/>
        </w:rPr>
        <w:t>3.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b w:val="0"/>
          <w:color w:val="auto"/>
          <w:sz w:val="24"/>
          <w:szCs w:val="24"/>
        </w:rPr>
        <w:t>缩写和定义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_Toc101533870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0635FE5D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"_Toc101533871" </w:instrText>
      </w:r>
      <w:r>
        <w:fldChar w:fldCharType="separate"/>
      </w:r>
      <w:r>
        <w:rPr>
          <w:rStyle w:val="37"/>
          <w:b w:val="0"/>
          <w:color w:val="auto"/>
          <w:sz w:val="24"/>
          <w:szCs w:val="24"/>
        </w:rPr>
        <w:t>4.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b w:val="0"/>
          <w:color w:val="auto"/>
          <w:sz w:val="24"/>
          <w:szCs w:val="24"/>
        </w:rPr>
        <w:t>工艺描述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_Toc101533871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158E03B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"_Toc101533872" </w:instrText>
      </w:r>
      <w:r>
        <w:fldChar w:fldCharType="separate"/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5.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hint="eastAsia" w:ascii="宋体" w:hAnsi="宋体"/>
          <w:b w:val="0"/>
          <w:color w:val="auto"/>
          <w:sz w:val="24"/>
          <w:szCs w:val="24"/>
        </w:rPr>
        <w:t>采购</w:t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范围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end"/>
      </w:r>
    </w:p>
    <w:p w14:paraId="6F89570D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"_Toc101533873"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5.1.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冷库的面积、高度及库板要求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5920305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"_Toc101533874"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5.2.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技术要求及范围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CC09EEF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"_Toc101533875" </w:instrText>
      </w:r>
      <w:r>
        <w:fldChar w:fldCharType="separate"/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6.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用户及系统要求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_Toc101533875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6C8A3031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"_Toc101533876"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6.1.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生产工艺要求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2D2AD58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"_Toc101533877"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6.2.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厂房设施及公用系统要求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BC98345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"_Toc101533878"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6.3.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制冷系统配置要求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E321D99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"_Toc101533879"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6.4.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电气及温度控制系统的要求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B9E14A2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"_Toc101533880"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6.5.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冷库照明、排水装置的要求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C8C7E38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"_Toc101533881"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6.6.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库板、库门等配置要求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7C818D1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"_Toc101533882"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6.7.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安装督导及调试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6C1EA2B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"_Toc101533883"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6.8.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质量保证和售后服务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14732DC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"_Toc101533884"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6.9.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文件/图纸要求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4AA3A97">
      <w:pPr>
        <w:pStyle w:val="26"/>
        <w:tabs>
          <w:tab w:val="left" w:pos="126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"_Toc101533885"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6.10.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约束条件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E6D072F">
      <w:pPr>
        <w:spacing w:line="360" w:lineRule="auto"/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17D343B4">
      <w:pPr>
        <w:spacing w:line="360" w:lineRule="auto"/>
        <w:rPr>
          <w:b/>
          <w:bCs/>
          <w:lang w:val="zh-CN"/>
        </w:rPr>
      </w:pPr>
    </w:p>
    <w:p w14:paraId="735DED71">
      <w:pPr>
        <w:pStyle w:val="14"/>
        <w:spacing w:after="0" w:line="360" w:lineRule="auto"/>
        <w:rPr>
          <w:rFonts w:ascii="Arial" w:hAnsi="Arial"/>
          <w:b/>
          <w:szCs w:val="24"/>
          <w:lang w:val="en-GB" w:eastAsia="zh-CN"/>
        </w:rPr>
      </w:pPr>
    </w:p>
    <w:p w14:paraId="39A74E71">
      <w:pPr>
        <w:pStyle w:val="14"/>
        <w:numPr>
          <w:ilvl w:val="0"/>
          <w:numId w:val="2"/>
        </w:numPr>
        <w:spacing w:after="0" w:line="360" w:lineRule="auto"/>
        <w:ind w:left="357" w:hanging="357"/>
        <w:outlineLvl w:val="0"/>
        <w:rPr>
          <w:rFonts w:ascii="Arial" w:hAnsi="Arial"/>
          <w:b/>
          <w:szCs w:val="24"/>
          <w:lang w:eastAsia="zh-CN"/>
        </w:rPr>
      </w:pPr>
      <w:bookmarkStart w:id="0" w:name="_Toc101533868"/>
      <w:r>
        <w:rPr>
          <w:rFonts w:hint="eastAsia" w:ascii="Arial" w:hAnsi="Arial"/>
          <w:b/>
          <w:szCs w:val="24"/>
          <w:lang w:eastAsia="zh-CN"/>
        </w:rPr>
        <w:t>总则</w:t>
      </w:r>
      <w:bookmarkEnd w:id="0"/>
    </w:p>
    <w:p w14:paraId="0CFDE10D">
      <w:pPr>
        <w:pStyle w:val="28"/>
        <w:spacing w:before="0" w:after="0" w:afterAutospacing="0" w:line="360" w:lineRule="auto"/>
        <w:ind w:firstLine="480" w:firstLineChars="200"/>
        <w:rPr>
          <w:rFonts w:ascii="Arial" w:hAnsi="Arial" w:cs="Arial"/>
          <w:kern w:val="2"/>
          <w:szCs w:val="24"/>
        </w:rPr>
      </w:pPr>
      <w:r>
        <w:rPr>
          <w:rFonts w:hint="eastAsia" w:ascii="Arial" w:hAnsi="Arial" w:cs="Arial"/>
          <w:kern w:val="2"/>
          <w:szCs w:val="24"/>
        </w:rPr>
        <w:t>田阳光明单采血浆有限公司（以下简称：用户）旧冷库拟计划进行升级改造：2#冷库总面积增大，增设常温通道与缓冲通道，常温通道放置电脑桌及配电箱，1#与2#冷库间设缓冲通道。</w:t>
      </w:r>
      <w:r>
        <w:rPr>
          <w:rFonts w:hint="eastAsia"/>
        </w:rPr>
        <w:t>将现有2#冷冻库压缩机保护性拆除，安装至1#冷冻库，1#冷冻库增加两台适合该冷冻库容积风机。</w:t>
      </w:r>
      <w:r>
        <w:rPr>
          <w:rFonts w:hint="eastAsia" w:ascii="Arial" w:hAnsi="Arial" w:cs="Arial"/>
          <w:kern w:val="2"/>
          <w:szCs w:val="24"/>
        </w:rPr>
        <w:t>冷库配备双制冷机组，制冷机组化霜应实现互锁，需确保化霜时冷库内温度平稳。在冷库出口处设置升降平台与无缝对接门封，实现冷链无缝对接。</w:t>
      </w:r>
    </w:p>
    <w:p w14:paraId="2F99A23A">
      <w:pPr>
        <w:pStyle w:val="14"/>
        <w:spacing w:after="0" w:line="360" w:lineRule="auto"/>
        <w:rPr>
          <w:rFonts w:ascii="Arial" w:hAnsi="Arial"/>
          <w:lang w:eastAsia="zh-CN"/>
        </w:rPr>
      </w:pPr>
    </w:p>
    <w:p w14:paraId="49170C91">
      <w:pPr>
        <w:pStyle w:val="14"/>
        <w:numPr>
          <w:ilvl w:val="0"/>
          <w:numId w:val="2"/>
        </w:numPr>
        <w:spacing w:after="0" w:line="360" w:lineRule="auto"/>
        <w:ind w:left="357" w:hanging="357"/>
        <w:outlineLvl w:val="0"/>
        <w:rPr>
          <w:rFonts w:ascii="Arial" w:hAnsi="Arial"/>
          <w:b/>
          <w:szCs w:val="24"/>
          <w:lang w:eastAsia="zh-CN"/>
        </w:rPr>
      </w:pPr>
      <w:bookmarkStart w:id="1" w:name="_Toc101533869"/>
      <w:r>
        <w:rPr>
          <w:rFonts w:ascii="Arial" w:hAnsi="Arial"/>
          <w:b/>
          <w:szCs w:val="24"/>
          <w:lang w:eastAsia="zh-CN"/>
        </w:rPr>
        <w:t>适用的法规和指南</w:t>
      </w:r>
      <w:bookmarkEnd w:id="1"/>
    </w:p>
    <w:p w14:paraId="2FB9F950">
      <w:pPr>
        <w:pStyle w:val="30"/>
        <w:spacing w:after="0" w:line="360" w:lineRule="auto"/>
        <w:ind w:firstLine="480" w:firstLineChars="200"/>
        <w:rPr>
          <w:rFonts w:ascii="Arial" w:hAnsi="Arial" w:cs="Arial"/>
          <w:sz w:val="24"/>
          <w:lang w:eastAsia="zh-CN"/>
        </w:rPr>
      </w:pPr>
      <w:r>
        <w:rPr>
          <w:rFonts w:ascii="Arial" w:hAnsi="Arial" w:cs="Arial"/>
          <w:sz w:val="24"/>
          <w:lang w:eastAsia="zh-CN"/>
        </w:rPr>
        <w:t>整个项目系统要按照</w:t>
      </w:r>
      <w:r>
        <w:rPr>
          <w:rFonts w:ascii="宋体" w:hAnsi="宋体" w:cs="Arial"/>
          <w:sz w:val="24"/>
          <w:lang w:eastAsia="zh-CN"/>
        </w:rPr>
        <w:t>说明</w:t>
      </w:r>
      <w:r>
        <w:rPr>
          <w:rFonts w:hint="eastAsia" w:ascii="宋体" w:hAnsi="宋体" w:cs="Arial"/>
          <w:sz w:val="24"/>
          <w:lang w:eastAsia="zh-CN"/>
        </w:rPr>
        <w:t>范围内的系统应能满足以下法规和指南的</w:t>
      </w:r>
      <w:r>
        <w:rPr>
          <w:rFonts w:ascii="Arial" w:hAnsi="Arial" w:cs="Arial"/>
          <w:sz w:val="24"/>
          <w:lang w:eastAsia="zh-CN"/>
        </w:rPr>
        <w:t>要求设计、制造、运输、安装、运行、维护和验证，并符合以下相关法规和指南、但并不限于：</w:t>
      </w:r>
    </w:p>
    <w:p w14:paraId="281E697E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《药品生产质量管理规范》（2010版）及相关附件</w:t>
      </w:r>
    </w:p>
    <w:p w14:paraId="16C2AF66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《GMP实施指南》</w:t>
      </w:r>
      <w:r>
        <w:rPr>
          <w:rFonts w:hint="eastAsia" w:ascii="Arial" w:hAnsi="Arial" w:cs="Arial"/>
          <w:sz w:val="24"/>
        </w:rPr>
        <w:t>（</w:t>
      </w:r>
      <w:r>
        <w:rPr>
          <w:rFonts w:ascii="Arial" w:hAnsi="Arial" w:cs="Arial"/>
          <w:sz w:val="24"/>
        </w:rPr>
        <w:t>2011年版</w:t>
      </w:r>
      <w:r>
        <w:rPr>
          <w:rFonts w:hint="eastAsia" w:ascii="Arial" w:hAnsi="Arial" w:cs="Arial"/>
          <w:sz w:val="24"/>
        </w:rPr>
        <w:t>）</w:t>
      </w:r>
    </w:p>
    <w:p w14:paraId="239A0E2E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《</w:t>
      </w:r>
      <w:r>
        <w:rPr>
          <w:rFonts w:ascii="Arial" w:hAnsi="Arial" w:cs="Arial"/>
          <w:sz w:val="24"/>
        </w:rPr>
        <w:t>中国药品生产验证指南</w:t>
      </w:r>
      <w:r>
        <w:rPr>
          <w:rFonts w:hint="eastAsia" w:ascii="Arial" w:hAnsi="Arial" w:cs="Arial"/>
          <w:sz w:val="24"/>
        </w:rPr>
        <w:t>》</w:t>
      </w:r>
      <w:r>
        <w:rPr>
          <w:rFonts w:ascii="Arial" w:hAnsi="Arial" w:cs="Arial"/>
          <w:sz w:val="24"/>
        </w:rPr>
        <w:t>（2003版）</w:t>
      </w:r>
    </w:p>
    <w:p w14:paraId="2D5FE9C9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GEP良好工程管理规范</w:t>
      </w:r>
    </w:p>
    <w:p w14:paraId="1BCCF1FE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《中华人民共和国药典》2015版</w:t>
      </w:r>
    </w:p>
    <w:p w14:paraId="303D7112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《组合冷库》JB/T9061-1999</w:t>
      </w:r>
    </w:p>
    <w:p w14:paraId="268F3C8A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《组合冷库用夹芯板标准》JB/T6527-2006</w:t>
      </w:r>
    </w:p>
    <w:p w14:paraId="2E5CA066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《制冷设备通用技术规范》GBJ237-88</w:t>
      </w:r>
    </w:p>
    <w:p w14:paraId="09EDE7C5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《制冷设备、空气分离设备安装工程施工及验收规范》GB50274-2010</w:t>
      </w:r>
    </w:p>
    <w:p w14:paraId="204B126F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《现场设备工业管道焊接工程施工规范》GB50236-2011</w:t>
      </w:r>
    </w:p>
    <w:p w14:paraId="162F1262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《工业金属管道工程施工规范》GB50235-2010</w:t>
      </w:r>
    </w:p>
    <w:p w14:paraId="7155E05E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《工业金属管道工程施工质量验收规范》GB50184-2011</w:t>
      </w:r>
    </w:p>
    <w:p w14:paraId="710A71B0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《工业设备及管道绝热工程施工质量验收规范》GB50185-2010</w:t>
      </w:r>
    </w:p>
    <w:p w14:paraId="7EF9B30E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《现场设备、工业管道焊接工程施工质量验收规范》GB50683-2011</w:t>
      </w:r>
    </w:p>
    <w:p w14:paraId="2559D456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《电器装置安装工程及验收规范》GB50254-96~20259-96</w:t>
      </w:r>
    </w:p>
    <w:p w14:paraId="49C9A1E8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《风机、压缩机、泵安装工程施工及验收规范》GB50275-2010</w:t>
      </w:r>
    </w:p>
    <w:p w14:paraId="42D455B0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《钢结构工程施工质量验收规范》GB50205-2001；</w:t>
      </w:r>
    </w:p>
    <w:p w14:paraId="69505A24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《组合冷库用隔热夹芯板技术条件》 GB/T-6527-92</w:t>
      </w:r>
    </w:p>
    <w:p w14:paraId="57F714C2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《建筑工程施工质量验收统一标准》 GB50300-2001</w:t>
      </w:r>
    </w:p>
    <w:p w14:paraId="3E932298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 xml:space="preserve">《建筑设计防火规范》 GB50016-2006   </w:t>
      </w:r>
    </w:p>
    <w:p w14:paraId="2CAAA854">
      <w:pPr>
        <w:numPr>
          <w:ilvl w:val="0"/>
          <w:numId w:val="2"/>
        </w:numPr>
        <w:spacing w:line="360" w:lineRule="auto"/>
        <w:ind w:left="357" w:hanging="357"/>
        <w:outlineLvl w:val="0"/>
        <w:rPr>
          <w:b/>
          <w:sz w:val="24"/>
        </w:rPr>
      </w:pPr>
      <w:bookmarkStart w:id="2" w:name="_Toc232940747"/>
      <w:bookmarkStart w:id="3" w:name="_Toc184823396"/>
      <w:bookmarkStart w:id="4" w:name="_Toc101533870"/>
      <w:r>
        <w:rPr>
          <w:b/>
          <w:sz w:val="24"/>
        </w:rPr>
        <w:t>缩写和定义</w:t>
      </w:r>
      <w:bookmarkEnd w:id="2"/>
      <w:bookmarkEnd w:id="3"/>
      <w:bookmarkEnd w:id="4"/>
    </w:p>
    <w:tbl>
      <w:tblPr>
        <w:tblStyle w:val="31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6720"/>
      </w:tblGrid>
      <w:tr w14:paraId="5C32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1B37ED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</w:p>
        </w:tc>
        <w:tc>
          <w:tcPr>
            <w:tcW w:w="6720" w:type="dxa"/>
          </w:tcPr>
          <w:p w14:paraId="30E5D4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用户需求标准</w:t>
            </w:r>
          </w:p>
        </w:tc>
      </w:tr>
      <w:tr w14:paraId="0AC3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3379D5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HDS</w:t>
            </w:r>
          </w:p>
        </w:tc>
        <w:tc>
          <w:tcPr>
            <w:tcW w:w="6720" w:type="dxa"/>
          </w:tcPr>
          <w:p w14:paraId="75516B5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硬件设计标准</w:t>
            </w:r>
          </w:p>
        </w:tc>
      </w:tr>
      <w:tr w14:paraId="199E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3F9A09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P&amp;I D</w:t>
            </w:r>
          </w:p>
        </w:tc>
        <w:tc>
          <w:tcPr>
            <w:tcW w:w="6720" w:type="dxa"/>
          </w:tcPr>
          <w:p w14:paraId="3E6083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工艺仪器布局图</w:t>
            </w:r>
          </w:p>
        </w:tc>
      </w:tr>
      <w:tr w14:paraId="5294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2C5CC9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PLC</w:t>
            </w:r>
          </w:p>
        </w:tc>
        <w:tc>
          <w:tcPr>
            <w:tcW w:w="6720" w:type="dxa"/>
          </w:tcPr>
          <w:p w14:paraId="10EFB8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可编程控制器</w:t>
            </w:r>
          </w:p>
        </w:tc>
      </w:tr>
      <w:tr w14:paraId="66A0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4F55CB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GMP</w:t>
            </w:r>
          </w:p>
        </w:tc>
        <w:tc>
          <w:tcPr>
            <w:tcW w:w="6720" w:type="dxa"/>
          </w:tcPr>
          <w:p w14:paraId="45F7AE9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药品生产质量管理规范</w:t>
            </w:r>
          </w:p>
        </w:tc>
      </w:tr>
      <w:tr w14:paraId="1442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22EB76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FAT</w:t>
            </w:r>
          </w:p>
        </w:tc>
        <w:tc>
          <w:tcPr>
            <w:tcW w:w="6720" w:type="dxa"/>
          </w:tcPr>
          <w:p w14:paraId="36ABD8A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工厂验收测试</w:t>
            </w:r>
          </w:p>
        </w:tc>
      </w:tr>
      <w:tr w14:paraId="2150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487558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SAT</w:t>
            </w:r>
          </w:p>
        </w:tc>
        <w:tc>
          <w:tcPr>
            <w:tcW w:w="6720" w:type="dxa"/>
          </w:tcPr>
          <w:p w14:paraId="70BA61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现场验收测试</w:t>
            </w:r>
          </w:p>
        </w:tc>
      </w:tr>
      <w:tr w14:paraId="1F15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44EB6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DQ</w:t>
            </w:r>
          </w:p>
        </w:tc>
        <w:tc>
          <w:tcPr>
            <w:tcW w:w="6720" w:type="dxa"/>
          </w:tcPr>
          <w:p w14:paraId="6DB9FA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设计确认</w:t>
            </w:r>
          </w:p>
        </w:tc>
      </w:tr>
      <w:tr w14:paraId="33D0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3525A4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IQ</w:t>
            </w:r>
          </w:p>
        </w:tc>
        <w:tc>
          <w:tcPr>
            <w:tcW w:w="6720" w:type="dxa"/>
          </w:tcPr>
          <w:p w14:paraId="58A451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安装确认</w:t>
            </w:r>
          </w:p>
        </w:tc>
      </w:tr>
      <w:tr w14:paraId="6537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4B8AB2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OQ</w:t>
            </w:r>
          </w:p>
        </w:tc>
        <w:tc>
          <w:tcPr>
            <w:tcW w:w="6720" w:type="dxa"/>
          </w:tcPr>
          <w:p w14:paraId="47CFC5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运行确认</w:t>
            </w:r>
          </w:p>
        </w:tc>
      </w:tr>
      <w:tr w14:paraId="395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142E1A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PQ</w:t>
            </w:r>
          </w:p>
        </w:tc>
        <w:tc>
          <w:tcPr>
            <w:tcW w:w="6720" w:type="dxa"/>
          </w:tcPr>
          <w:p w14:paraId="133EE1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性能确认</w:t>
            </w:r>
          </w:p>
        </w:tc>
      </w:tr>
    </w:tbl>
    <w:p w14:paraId="34C901FE">
      <w:pPr>
        <w:spacing w:line="360" w:lineRule="auto"/>
        <w:rPr>
          <w:b/>
          <w:sz w:val="24"/>
        </w:rPr>
      </w:pPr>
    </w:p>
    <w:p w14:paraId="69710B3E">
      <w:pPr>
        <w:numPr>
          <w:ilvl w:val="0"/>
          <w:numId w:val="2"/>
        </w:numPr>
        <w:spacing w:line="360" w:lineRule="auto"/>
        <w:ind w:left="357" w:hanging="357"/>
        <w:outlineLvl w:val="0"/>
        <w:rPr>
          <w:b/>
          <w:sz w:val="24"/>
        </w:rPr>
      </w:pPr>
      <w:bookmarkStart w:id="5" w:name="_Toc101533871"/>
      <w:r>
        <w:rPr>
          <w:rFonts w:hint="eastAsia"/>
          <w:b/>
          <w:sz w:val="24"/>
        </w:rPr>
        <w:t>工艺描述</w:t>
      </w:r>
      <w:bookmarkEnd w:id="5"/>
    </w:p>
    <w:p w14:paraId="24B3859B">
      <w:pPr>
        <w:spacing w:line="360" w:lineRule="auto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4.1 2#</w:t>
      </w:r>
      <w:r>
        <w:rPr>
          <w:rFonts w:hint="eastAsia" w:ascii="宋体" w:hAnsi="宋体" w:cs="宋体"/>
          <w:bCs/>
          <w:sz w:val="24"/>
        </w:rPr>
        <w:t>冷冻库重新进行设计，增设常温控制间、冷缓冲间，冷库内配制2台制冷机组，</w:t>
      </w:r>
      <w:r>
        <w:rPr>
          <w:rFonts w:ascii="Arial" w:hAnsi="Arial" w:cs="Arial"/>
          <w:bCs/>
          <w:sz w:val="24"/>
        </w:rPr>
        <w:t>一用一备</w:t>
      </w:r>
      <w:r>
        <w:rPr>
          <w:rFonts w:hint="eastAsia" w:ascii="Arial" w:hAnsi="Arial" w:cs="Arial"/>
          <w:bCs/>
          <w:sz w:val="24"/>
        </w:rPr>
        <w:t>（互为备用），</w:t>
      </w:r>
      <w:r>
        <w:rPr>
          <w:rFonts w:hint="eastAsia" w:ascii="宋体" w:hAnsi="宋体" w:cs="宋体"/>
          <w:bCs/>
          <w:sz w:val="24"/>
        </w:rPr>
        <w:t>两台制冷机组化霜应实现互锁，需确保化霜时冷库内温度平稳，运行温度为-25</w:t>
      </w:r>
      <w:r>
        <w:rPr>
          <w:rFonts w:hint="eastAsia" w:ascii="宋体" w:hAnsi="宋体" w:cs="宋体"/>
          <w:sz w:val="24"/>
        </w:rPr>
        <w:t>℃～-35℃，温度可调，降温速率从</w:t>
      </w:r>
      <w:r>
        <w:rPr>
          <w:rFonts w:ascii="宋体" w:hAnsi="宋体" w:cs="宋体"/>
          <w:sz w:val="24"/>
        </w:rPr>
        <w:t>常温降至</w:t>
      </w:r>
      <w:r>
        <w:rPr>
          <w:rFonts w:hint="eastAsia" w:ascii="宋体" w:hAnsi="宋体" w:cs="宋体"/>
          <w:sz w:val="24"/>
        </w:rPr>
        <w:t>-25℃以下不大于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小时，制冷控温方式为24小时制冷；缓冲间配备一台冷风机，运行温度为2～8℃，温度可调，制冷控温方式为24小时制冷。</w:t>
      </w:r>
    </w:p>
    <w:p w14:paraId="6B54784E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hint="eastAsia"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控制系统：</w:t>
      </w:r>
      <w:r>
        <w:rPr>
          <w:rFonts w:hint="eastAsia"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台冷库及缓冲区均需各有独立的控制系统，同一个冷库的控制系统需要有两个温度控制系统，每个温度控制系统需有独立的温度传感和温控系统组成，并且可通过手动转换开关实现转换控制方式。温控系统采用PLC群控和温控仪表控制两种模式互为备用。</w:t>
      </w:r>
    </w:p>
    <w:p w14:paraId="269136FC"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hint="eastAsia"/>
          <w:b/>
          <w:bCs/>
          <w:sz w:val="24"/>
          <w:szCs w:val="24"/>
        </w:rPr>
        <w:t>改造供货</w:t>
      </w:r>
      <w:r>
        <w:rPr>
          <w:rFonts w:ascii="宋体" w:hAnsi="宋体"/>
          <w:b/>
          <w:bCs/>
          <w:sz w:val="24"/>
        </w:rPr>
        <w:t>范</w:t>
      </w:r>
      <w:r>
        <w:rPr>
          <w:rFonts w:ascii="宋体" w:hAnsi="宋体"/>
          <w:b/>
          <w:sz w:val="24"/>
        </w:rPr>
        <w:t>围</w:t>
      </w:r>
    </w:p>
    <w:p w14:paraId="67835982">
      <w:pPr>
        <w:spacing w:before="156" w:beforeLines="50" w:after="156" w:afterLines="50" w:line="360" w:lineRule="auto"/>
        <w:ind w:firstLine="480" w:firstLineChars="200"/>
        <w:rPr>
          <w:rFonts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本</w:t>
      </w:r>
      <w:r>
        <w:rPr>
          <w:rFonts w:hint="eastAsia"/>
          <w:highlight w:val="none"/>
        </w:rPr>
        <w:t>改造</w:t>
      </w:r>
      <w:r>
        <w:rPr>
          <w:rFonts w:hint="eastAsia" w:hAnsi="宋体"/>
          <w:sz w:val="24"/>
          <w:highlight w:val="none"/>
        </w:rPr>
        <w:t>项目为2#冷库重建升级改造，包含施工</w:t>
      </w:r>
      <w:r>
        <w:rPr>
          <w:rFonts w:hAnsi="宋体"/>
          <w:sz w:val="24"/>
          <w:highlight w:val="none"/>
        </w:rPr>
        <w:t>范围</w:t>
      </w:r>
      <w:r>
        <w:rPr>
          <w:rFonts w:hint="eastAsia" w:hAnsi="宋体"/>
          <w:sz w:val="24"/>
          <w:highlight w:val="none"/>
        </w:rPr>
        <w:t>地面及</w:t>
      </w:r>
      <w:r>
        <w:rPr>
          <w:rFonts w:hAnsi="宋体"/>
          <w:sz w:val="24"/>
          <w:highlight w:val="none"/>
        </w:rPr>
        <w:t>保温</w:t>
      </w:r>
      <w:r>
        <w:rPr>
          <w:rFonts w:hint="eastAsia" w:hAnsi="宋体"/>
          <w:sz w:val="24"/>
          <w:highlight w:val="none"/>
        </w:rPr>
        <w:t>的不锈钢钢板</w:t>
      </w:r>
      <w:r>
        <w:rPr>
          <w:rFonts w:hAnsi="宋体"/>
          <w:sz w:val="24"/>
          <w:highlight w:val="none"/>
        </w:rPr>
        <w:t>、库房隔板、冷库门、</w:t>
      </w:r>
      <w:r>
        <w:rPr>
          <w:rFonts w:hint="eastAsia" w:hAnsi="宋体"/>
          <w:sz w:val="24"/>
          <w:highlight w:val="none"/>
        </w:rPr>
        <w:t>报警</w:t>
      </w:r>
      <w:r>
        <w:rPr>
          <w:rFonts w:hAnsi="宋体"/>
          <w:sz w:val="24"/>
          <w:highlight w:val="none"/>
        </w:rPr>
        <w:t>装置、</w:t>
      </w:r>
      <w:r>
        <w:rPr>
          <w:rFonts w:hint="eastAsia" w:hAnsi="宋体"/>
          <w:sz w:val="24"/>
          <w:highlight w:val="none"/>
        </w:rPr>
        <w:t>冷库</w:t>
      </w:r>
      <w:r>
        <w:rPr>
          <w:rFonts w:hAnsi="宋体"/>
          <w:sz w:val="24"/>
          <w:highlight w:val="none"/>
        </w:rPr>
        <w:t>排水、</w:t>
      </w:r>
      <w:r>
        <w:rPr>
          <w:rFonts w:hint="eastAsia" w:hAnsi="宋体"/>
          <w:sz w:val="24"/>
          <w:highlight w:val="none"/>
        </w:rPr>
        <w:t>冷库照明（含</w:t>
      </w:r>
      <w:r>
        <w:rPr>
          <w:rFonts w:hAnsi="宋体"/>
          <w:sz w:val="24"/>
          <w:highlight w:val="none"/>
        </w:rPr>
        <w:t>控制箱</w:t>
      </w:r>
      <w:r>
        <w:rPr>
          <w:rFonts w:hint="eastAsia" w:hAnsi="宋体"/>
          <w:sz w:val="24"/>
          <w:highlight w:val="none"/>
        </w:rPr>
        <w:t>）、应急照明、疏散通道指示灯、风幕机、平衡窗制冷设备及控制系统（含</w:t>
      </w:r>
      <w:r>
        <w:rPr>
          <w:rFonts w:hAnsi="宋体"/>
          <w:sz w:val="24"/>
          <w:highlight w:val="none"/>
        </w:rPr>
        <w:t>控制箱</w:t>
      </w:r>
      <w:r>
        <w:rPr>
          <w:rFonts w:hint="eastAsia" w:hAnsi="宋体"/>
          <w:sz w:val="24"/>
          <w:highlight w:val="none"/>
        </w:rPr>
        <w:t>及</w:t>
      </w:r>
      <w:r>
        <w:rPr>
          <w:rFonts w:hAnsi="宋体"/>
          <w:sz w:val="24"/>
          <w:highlight w:val="none"/>
        </w:rPr>
        <w:t>配线</w:t>
      </w:r>
      <w:r>
        <w:rPr>
          <w:rFonts w:hint="eastAsia" w:hAnsi="宋体"/>
          <w:sz w:val="24"/>
          <w:highlight w:val="none"/>
        </w:rPr>
        <w:t>）、</w:t>
      </w:r>
      <w:r>
        <w:rPr>
          <w:rFonts w:hAnsi="宋体"/>
          <w:sz w:val="24"/>
          <w:highlight w:val="none"/>
        </w:rPr>
        <w:t>应急照明及</w:t>
      </w:r>
      <w:r>
        <w:rPr>
          <w:rFonts w:hint="eastAsia" w:hAnsi="宋体"/>
          <w:sz w:val="24"/>
          <w:highlight w:val="none"/>
        </w:rPr>
        <w:t>疏散</w:t>
      </w:r>
      <w:r>
        <w:rPr>
          <w:rFonts w:hAnsi="宋体"/>
          <w:sz w:val="24"/>
          <w:highlight w:val="none"/>
        </w:rPr>
        <w:t>通道指示</w:t>
      </w:r>
      <w:r>
        <w:rPr>
          <w:rFonts w:hint="eastAsia" w:hAnsi="宋体"/>
          <w:sz w:val="24"/>
          <w:highlight w:val="none"/>
        </w:rPr>
        <w:t>装置等设备及控制系统的采购、安装调试及验证，涵盖设备安装调试及验证（DQ、IQ</w:t>
      </w:r>
      <w:r>
        <w:rPr>
          <w:rFonts w:hAnsi="宋体"/>
          <w:sz w:val="24"/>
          <w:highlight w:val="none"/>
        </w:rPr>
        <w:t>、</w:t>
      </w:r>
      <w:r>
        <w:rPr>
          <w:rFonts w:hint="eastAsia" w:hAnsi="宋体"/>
          <w:sz w:val="24"/>
          <w:highlight w:val="none"/>
        </w:rPr>
        <w:t>OQ、PQ），</w:t>
      </w:r>
      <w:r>
        <w:rPr>
          <w:rFonts w:hAnsi="宋体"/>
          <w:sz w:val="24"/>
          <w:highlight w:val="none"/>
        </w:rPr>
        <w:t>提供整套符合现行版</w:t>
      </w:r>
      <w:r>
        <w:rPr>
          <w:rFonts w:hint="eastAsia" w:hAnsi="宋体"/>
          <w:sz w:val="24"/>
          <w:highlight w:val="none"/>
        </w:rPr>
        <w:t>GMP文件；不含</w:t>
      </w:r>
      <w:r>
        <w:rPr>
          <w:rFonts w:hAnsi="宋体"/>
          <w:sz w:val="24"/>
          <w:highlight w:val="none"/>
        </w:rPr>
        <w:t>消防水</w:t>
      </w:r>
      <w:r>
        <w:rPr>
          <w:rFonts w:hint="eastAsia" w:hAnsi="宋体"/>
          <w:sz w:val="24"/>
          <w:highlight w:val="none"/>
        </w:rPr>
        <w:t>电工程，</w:t>
      </w:r>
      <w:r>
        <w:rPr>
          <w:rFonts w:hAnsi="宋体"/>
          <w:sz w:val="24"/>
          <w:highlight w:val="none"/>
        </w:rPr>
        <w:t>含</w:t>
      </w:r>
      <w:r>
        <w:rPr>
          <w:rFonts w:hint="eastAsia" w:hAnsi="宋体"/>
          <w:sz w:val="24"/>
          <w:highlight w:val="none"/>
        </w:rPr>
        <w:t>冷库常温控制间</w:t>
      </w:r>
      <w:r>
        <w:rPr>
          <w:rFonts w:hAnsi="宋体"/>
          <w:sz w:val="24"/>
          <w:highlight w:val="none"/>
        </w:rPr>
        <w:t>厂房隔断</w:t>
      </w:r>
      <w:r>
        <w:rPr>
          <w:rFonts w:hint="eastAsia" w:hAnsi="宋体"/>
          <w:sz w:val="24"/>
          <w:highlight w:val="none"/>
        </w:rPr>
        <w:t>、吊顶</w:t>
      </w:r>
      <w:r>
        <w:rPr>
          <w:rFonts w:hAnsi="宋体"/>
          <w:sz w:val="24"/>
          <w:highlight w:val="none"/>
        </w:rPr>
        <w:t>及照明、</w:t>
      </w:r>
      <w:r>
        <w:rPr>
          <w:rFonts w:hint="eastAsia" w:hAnsi="宋体"/>
          <w:sz w:val="24"/>
          <w:highlight w:val="none"/>
        </w:rPr>
        <w:t>插座、应急照明、疏散通道指示灯、</w:t>
      </w:r>
      <w:r>
        <w:rPr>
          <w:rFonts w:hAnsi="宋体"/>
          <w:sz w:val="24"/>
          <w:highlight w:val="none"/>
        </w:rPr>
        <w:t>空调</w:t>
      </w:r>
      <w:r>
        <w:rPr>
          <w:rFonts w:hint="eastAsia" w:hAnsi="宋体"/>
          <w:sz w:val="24"/>
          <w:highlight w:val="none"/>
        </w:rPr>
        <w:t>及</w:t>
      </w:r>
      <w:r>
        <w:rPr>
          <w:rFonts w:hAnsi="宋体"/>
          <w:sz w:val="24"/>
          <w:highlight w:val="none"/>
        </w:rPr>
        <w:t>地面</w:t>
      </w:r>
      <w:r>
        <w:rPr>
          <w:rFonts w:hint="eastAsia" w:hAnsi="宋体"/>
          <w:sz w:val="24"/>
          <w:highlight w:val="none"/>
        </w:rPr>
        <w:t>的施工。</w:t>
      </w:r>
    </w:p>
    <w:p w14:paraId="5FCF7AB2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  <w:highlight w:val="none"/>
        </w:rPr>
      </w:pPr>
      <w:r>
        <w:rPr>
          <w:rFonts w:hint="eastAsia" w:hAnsi="宋体"/>
          <w:sz w:val="24"/>
        </w:rPr>
        <w:t>1、冷库建造含常温控制间、冷缓冲间和冷库库房隔板、制冷系统、控制系统、冷库门、风幕机、平衡窗、开关、插座、冷库照明、应急照明、冷库插座、吊顶空调、报警装置和库内急救</w:t>
      </w:r>
      <w:r>
        <w:rPr>
          <w:rFonts w:hint="eastAsia" w:hAnsi="宋体"/>
          <w:sz w:val="24"/>
          <w:highlight w:val="none"/>
        </w:rPr>
        <w:t>报警装置等的供货安装及调试；</w:t>
      </w:r>
    </w:p>
    <w:p w14:paraId="38E0D83A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2、1</w:t>
      </w:r>
      <w:r>
        <w:rPr>
          <w:rFonts w:hAnsi="宋体"/>
          <w:sz w:val="24"/>
          <w:highlight w:val="none"/>
        </w:rPr>
        <w:t>#</w:t>
      </w:r>
      <w:r>
        <w:rPr>
          <w:rFonts w:hint="eastAsia" w:hAnsi="宋体"/>
          <w:sz w:val="24"/>
          <w:highlight w:val="none"/>
        </w:rPr>
        <w:t>冷冻库、2</w:t>
      </w:r>
      <w:r>
        <w:rPr>
          <w:rFonts w:hAnsi="宋体"/>
          <w:sz w:val="24"/>
          <w:highlight w:val="none"/>
        </w:rPr>
        <w:t>#</w:t>
      </w:r>
      <w:r>
        <w:rPr>
          <w:rFonts w:hint="eastAsia" w:hAnsi="宋体"/>
          <w:sz w:val="24"/>
          <w:highlight w:val="none"/>
        </w:rPr>
        <w:t>冷冻库、常温控制间及冷缓冲间系统全部按设计图重建；</w:t>
      </w:r>
    </w:p>
    <w:p w14:paraId="09BDFCDB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3、配电部分：设备配电从冷库</w:t>
      </w:r>
      <w:r>
        <w:rPr>
          <w:rFonts w:hAnsi="宋体"/>
          <w:sz w:val="24"/>
          <w:highlight w:val="none"/>
        </w:rPr>
        <w:t>设备控制箱</w:t>
      </w:r>
      <w:r>
        <w:rPr>
          <w:rFonts w:hint="eastAsia" w:hAnsi="宋体"/>
          <w:sz w:val="24"/>
          <w:highlight w:val="none"/>
        </w:rPr>
        <w:t>、</w:t>
      </w:r>
      <w:r>
        <w:rPr>
          <w:rFonts w:hAnsi="宋体"/>
          <w:sz w:val="24"/>
          <w:highlight w:val="none"/>
        </w:rPr>
        <w:t>配线至末端</w:t>
      </w:r>
      <w:r>
        <w:rPr>
          <w:rFonts w:hint="eastAsia" w:hAnsi="宋体"/>
          <w:sz w:val="24"/>
          <w:highlight w:val="none"/>
        </w:rPr>
        <w:t>（含冷库</w:t>
      </w:r>
      <w:r>
        <w:rPr>
          <w:rFonts w:hAnsi="宋体"/>
          <w:sz w:val="24"/>
          <w:highlight w:val="none"/>
        </w:rPr>
        <w:t>控制箱进</w:t>
      </w:r>
      <w:r>
        <w:rPr>
          <w:rFonts w:hint="eastAsia" w:hAnsi="宋体"/>
          <w:sz w:val="24"/>
          <w:highlight w:val="none"/>
        </w:rPr>
        <w:t>线）；开关、插座、普通照明及</w:t>
      </w:r>
      <w:r>
        <w:rPr>
          <w:rFonts w:hAnsi="宋体"/>
          <w:sz w:val="24"/>
          <w:highlight w:val="none"/>
        </w:rPr>
        <w:t>应急照明</w:t>
      </w:r>
      <w:r>
        <w:rPr>
          <w:rFonts w:hint="eastAsia" w:hAnsi="宋体"/>
          <w:sz w:val="24"/>
          <w:highlight w:val="none"/>
        </w:rPr>
        <w:t>等，</w:t>
      </w:r>
      <w:r>
        <w:rPr>
          <w:rFonts w:hAnsi="宋体"/>
          <w:sz w:val="24"/>
          <w:highlight w:val="none"/>
        </w:rPr>
        <w:t>配电</w:t>
      </w:r>
      <w:r>
        <w:rPr>
          <w:rFonts w:hint="eastAsia" w:hAnsi="宋体"/>
          <w:sz w:val="24"/>
          <w:highlight w:val="none"/>
        </w:rPr>
        <w:t>从冷库照明配电</w:t>
      </w:r>
      <w:r>
        <w:rPr>
          <w:rFonts w:hAnsi="宋体"/>
          <w:sz w:val="24"/>
          <w:highlight w:val="none"/>
        </w:rPr>
        <w:t>箱</w:t>
      </w:r>
      <w:r>
        <w:rPr>
          <w:rFonts w:hint="eastAsia" w:hAnsi="宋体"/>
          <w:sz w:val="24"/>
          <w:highlight w:val="none"/>
        </w:rPr>
        <w:t>、</w:t>
      </w:r>
      <w:r>
        <w:rPr>
          <w:rFonts w:hAnsi="宋体"/>
          <w:sz w:val="24"/>
          <w:highlight w:val="none"/>
        </w:rPr>
        <w:t>配线至末端</w:t>
      </w:r>
      <w:r>
        <w:rPr>
          <w:rFonts w:hint="eastAsia" w:hAnsi="宋体"/>
          <w:sz w:val="24"/>
          <w:highlight w:val="none"/>
        </w:rPr>
        <w:t>（含配电</w:t>
      </w:r>
      <w:r>
        <w:rPr>
          <w:rFonts w:hAnsi="宋体"/>
          <w:sz w:val="24"/>
          <w:highlight w:val="none"/>
        </w:rPr>
        <w:t>箱进</w:t>
      </w:r>
      <w:r>
        <w:rPr>
          <w:rFonts w:hint="eastAsia" w:hAnsi="宋体"/>
          <w:sz w:val="24"/>
          <w:highlight w:val="none"/>
        </w:rPr>
        <w:t>线）；</w:t>
      </w:r>
    </w:p>
    <w:p w14:paraId="7B30C26F">
      <w:pPr>
        <w:pStyle w:val="50"/>
        <w:spacing w:before="156" w:beforeLines="50" w:after="156" w:afterLines="50" w:line="360" w:lineRule="auto"/>
        <w:ind w:firstLine="480"/>
        <w:rPr>
          <w:rFonts w:ascii="Arial" w:hAnsi="Arial" w:cs="Arial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4、</w:t>
      </w:r>
      <w:r>
        <w:rPr>
          <w:rFonts w:ascii="Arial" w:hAnsi="Arial" w:cs="Arial"/>
          <w:snapToGrid w:val="0"/>
          <w:sz w:val="24"/>
          <w:highlight w:val="none"/>
        </w:rPr>
        <w:t>土建：含冷库土建地面整平及防水处理；包含土建墙开洞、旧冷库隔板及设备拆除及外运处理</w:t>
      </w:r>
      <w:r>
        <w:rPr>
          <w:rFonts w:hint="eastAsia" w:ascii="Arial" w:hAnsi="Arial" w:cs="Arial"/>
          <w:snapToGrid w:val="0"/>
          <w:sz w:val="24"/>
          <w:highlight w:val="none"/>
        </w:rPr>
        <w:t>（冷库设备残值抵扣为项目费用）；含</w:t>
      </w:r>
      <w:r>
        <w:rPr>
          <w:rFonts w:hint="eastAsia" w:ascii="Arial" w:hAnsi="Arial" w:cs="Arial"/>
          <w:sz w:val="24"/>
          <w:highlight w:val="none"/>
        </w:rPr>
        <w:t>卸浆</w:t>
      </w:r>
      <w:r>
        <w:rPr>
          <w:rFonts w:ascii="Arial" w:hAnsi="Arial" w:cs="Arial"/>
          <w:sz w:val="24"/>
          <w:highlight w:val="none"/>
        </w:rPr>
        <w:t>通道改建及除冷库外的其他改造</w:t>
      </w:r>
      <w:r>
        <w:rPr>
          <w:rFonts w:hint="eastAsia" w:ascii="Arial" w:hAnsi="Arial" w:cs="Arial"/>
          <w:sz w:val="24"/>
          <w:highlight w:val="none"/>
        </w:rPr>
        <w:t>；含升降平台基坑开挖与制造</w:t>
      </w:r>
      <w:r>
        <w:rPr>
          <w:rFonts w:ascii="Arial" w:hAnsi="Arial" w:cs="Arial"/>
          <w:sz w:val="24"/>
          <w:highlight w:val="none"/>
        </w:rPr>
        <w:t>。</w:t>
      </w:r>
    </w:p>
    <w:p w14:paraId="38E2738C">
      <w:pPr>
        <w:pStyle w:val="50"/>
        <w:spacing w:before="156" w:beforeLines="50" w:after="156" w:afterLines="50" w:line="360" w:lineRule="auto"/>
        <w:ind w:firstLine="48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Arial" w:hAnsi="Arial" w:cs="Arial"/>
          <w:sz w:val="24"/>
          <w:highlight w:val="none"/>
        </w:rPr>
        <w:t>5、1</w:t>
      </w:r>
      <w:r>
        <w:rPr>
          <w:rFonts w:ascii="Arial" w:hAnsi="Arial" w:cs="Arial"/>
          <w:sz w:val="24"/>
          <w:highlight w:val="none"/>
        </w:rPr>
        <w:t>#</w:t>
      </w:r>
      <w:r>
        <w:rPr>
          <w:rFonts w:hint="eastAsia" w:ascii="Arial" w:hAnsi="Arial" w:cs="Arial"/>
          <w:sz w:val="24"/>
          <w:highlight w:val="none"/>
        </w:rPr>
        <w:t>、2</w:t>
      </w:r>
      <w:r>
        <w:rPr>
          <w:rFonts w:ascii="Arial" w:hAnsi="Arial" w:cs="Arial"/>
          <w:sz w:val="24"/>
          <w:highlight w:val="none"/>
        </w:rPr>
        <w:t>#</w:t>
      </w:r>
      <w:r>
        <w:rPr>
          <w:rFonts w:hint="eastAsia" w:ascii="Arial" w:hAnsi="Arial" w:cs="Arial"/>
          <w:sz w:val="24"/>
          <w:highlight w:val="none"/>
        </w:rPr>
        <w:t>冷冻库制冷系统改造：制冷系实现1</w:t>
      </w:r>
      <w:r>
        <w:rPr>
          <w:rFonts w:ascii="Arial" w:hAnsi="Arial" w:cs="Arial"/>
          <w:sz w:val="24"/>
          <w:highlight w:val="none"/>
        </w:rPr>
        <w:t>#</w:t>
      </w:r>
      <w:r>
        <w:rPr>
          <w:rFonts w:hint="eastAsia" w:ascii="Arial" w:hAnsi="Arial" w:cs="Arial"/>
          <w:sz w:val="24"/>
          <w:highlight w:val="none"/>
        </w:rPr>
        <w:t>冷冻库双制冷系统温度控制，温度控制在-</w:t>
      </w:r>
      <w:r>
        <w:rPr>
          <w:rFonts w:ascii="Arial" w:hAnsi="Arial" w:cs="Arial"/>
          <w:sz w:val="24"/>
          <w:highlight w:val="none"/>
        </w:rPr>
        <w:t>25</w:t>
      </w:r>
      <w:r>
        <w:rPr>
          <w:rFonts w:hint="eastAsia" w:ascii="宋体" w:hAnsi="宋体" w:eastAsia="宋体" w:cs="宋体"/>
          <w:sz w:val="24"/>
          <w:highlight w:val="none"/>
        </w:rPr>
        <w:t>℃以下，制冷系统一备一用（互为备用），</w:t>
      </w:r>
      <w:r>
        <w:rPr>
          <w:rFonts w:hint="eastAsia" w:ascii="宋体" w:hAnsi="宋体" w:cs="宋体"/>
          <w:bCs/>
          <w:sz w:val="24"/>
          <w:highlight w:val="none"/>
        </w:rPr>
        <w:t>两台制冷机组化霜应实现互锁，需确保化霜时冷库内温度平稳，</w:t>
      </w:r>
      <w:r>
        <w:rPr>
          <w:rFonts w:hint="eastAsia" w:ascii="宋体" w:hAnsi="宋体" w:eastAsia="宋体" w:cs="宋体"/>
          <w:sz w:val="24"/>
          <w:highlight w:val="none"/>
        </w:rPr>
        <w:t>含制冷机组及控制箱安装、调试及验证。</w:t>
      </w:r>
    </w:p>
    <w:p w14:paraId="76B0B13F">
      <w:pPr>
        <w:pStyle w:val="50"/>
        <w:spacing w:before="156" w:beforeLines="50" w:after="156" w:afterLines="50" w:line="360" w:lineRule="auto"/>
        <w:ind w:firstLine="480"/>
        <w:rPr>
          <w:rFonts w:ascii="Arial" w:hAnsi="Arial" w:cs="Arial"/>
          <w:sz w:val="24"/>
        </w:rPr>
      </w:pPr>
      <w:r>
        <w:rPr>
          <w:rFonts w:hint="eastAsia" w:ascii="Arial" w:hAnsi="Arial" w:cs="Arial"/>
          <w:snapToGrid w:val="0"/>
          <w:sz w:val="24"/>
          <w:highlight w:val="none"/>
        </w:rPr>
        <w:t>6、</w:t>
      </w:r>
      <w:r>
        <w:rPr>
          <w:rFonts w:ascii="Arial" w:hAnsi="Arial" w:cs="Arial"/>
          <w:snapToGrid w:val="0"/>
          <w:sz w:val="24"/>
          <w:highlight w:val="none"/>
        </w:rPr>
        <w:t>冷库验证：涵盖</w:t>
      </w:r>
      <w:r>
        <w:rPr>
          <w:rFonts w:hint="eastAsia" w:ascii="Arial" w:hAnsi="Arial" w:cs="Arial"/>
          <w:snapToGrid w:val="0"/>
          <w:sz w:val="24"/>
          <w:highlight w:val="none"/>
        </w:rPr>
        <w:t>1个冷缓冲间和2个血浆储存</w:t>
      </w:r>
      <w:r>
        <w:rPr>
          <w:rFonts w:ascii="Arial" w:hAnsi="Arial" w:cs="Arial"/>
          <w:snapToGrid w:val="0"/>
          <w:sz w:val="24"/>
          <w:highlight w:val="none"/>
        </w:rPr>
        <w:t>冷冻库的</w:t>
      </w:r>
      <w:r>
        <w:rPr>
          <w:rFonts w:ascii="Arial" w:hAnsi="Arial" w:cs="Arial"/>
          <w:snapToGrid w:val="0"/>
          <w:sz w:val="24"/>
        </w:rPr>
        <w:t>设计确认（DQ）、安装确认（IQ）、运行确认（OQ）和性能确认（PQ），提供一整套符合现行版GMP的相关文件。</w:t>
      </w:r>
    </w:p>
    <w:p w14:paraId="5A4AB4AB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6" w:name="_Toc101533873"/>
      <w:r>
        <w:rPr>
          <w:rFonts w:hint="eastAsia" w:hAnsi="宋体"/>
          <w:b/>
          <w:bCs/>
          <w:sz w:val="24"/>
        </w:rPr>
        <w:t>5.1冷库采购</w:t>
      </w:r>
      <w:r>
        <w:rPr>
          <w:rFonts w:hAnsi="宋体"/>
          <w:b/>
          <w:bCs/>
          <w:sz w:val="24"/>
        </w:rPr>
        <w:t>范围</w:t>
      </w:r>
      <w:r>
        <w:rPr>
          <w:rFonts w:hint="eastAsia" w:hAnsi="宋体"/>
          <w:b/>
          <w:bCs/>
          <w:sz w:val="24"/>
        </w:rPr>
        <w:t>的面积、高度、库板及制冷</w:t>
      </w:r>
      <w:r>
        <w:rPr>
          <w:rFonts w:hAnsi="宋体"/>
          <w:b/>
          <w:bCs/>
          <w:sz w:val="24"/>
        </w:rPr>
        <w:t>设备</w:t>
      </w:r>
      <w:r>
        <w:rPr>
          <w:rFonts w:hint="eastAsia" w:hAnsi="宋体"/>
          <w:b/>
          <w:bCs/>
          <w:sz w:val="24"/>
        </w:rPr>
        <w:t>要求</w:t>
      </w:r>
      <w:bookmarkEnd w:id="6"/>
    </w:p>
    <w:tbl>
      <w:tblPr>
        <w:tblStyle w:val="3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71"/>
        <w:gridCol w:w="862"/>
        <w:gridCol w:w="873"/>
        <w:gridCol w:w="1313"/>
        <w:gridCol w:w="1313"/>
        <w:gridCol w:w="694"/>
        <w:gridCol w:w="1601"/>
        <w:gridCol w:w="1790"/>
      </w:tblGrid>
      <w:tr w14:paraId="55B1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" w:type="pct"/>
            <w:vAlign w:val="center"/>
          </w:tcPr>
          <w:p w14:paraId="27448D7C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序号</w:t>
            </w:r>
          </w:p>
        </w:tc>
        <w:tc>
          <w:tcPr>
            <w:tcW w:w="439" w:type="pct"/>
            <w:vAlign w:val="center"/>
          </w:tcPr>
          <w:p w14:paraId="2C841D7A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库房名称</w:t>
            </w:r>
          </w:p>
        </w:tc>
        <w:tc>
          <w:tcPr>
            <w:tcW w:w="434" w:type="pct"/>
            <w:vAlign w:val="center"/>
          </w:tcPr>
          <w:p w14:paraId="0C26DF1E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温度</w:t>
            </w:r>
          </w:p>
          <w:p w14:paraId="6B2638D5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（℃）</w:t>
            </w:r>
          </w:p>
        </w:tc>
        <w:tc>
          <w:tcPr>
            <w:tcW w:w="440" w:type="pct"/>
            <w:vAlign w:val="center"/>
          </w:tcPr>
          <w:p w14:paraId="4A4D46F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面积</w:t>
            </w:r>
          </w:p>
          <w:p w14:paraId="1DAE6A3E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㎡）</w:t>
            </w:r>
          </w:p>
        </w:tc>
        <w:tc>
          <w:tcPr>
            <w:tcW w:w="662" w:type="pct"/>
            <w:vAlign w:val="center"/>
          </w:tcPr>
          <w:p w14:paraId="6BFE5366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净空高度</w:t>
            </w:r>
          </w:p>
          <w:p w14:paraId="2A099848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（m）</w:t>
            </w:r>
          </w:p>
        </w:tc>
        <w:tc>
          <w:tcPr>
            <w:tcW w:w="662" w:type="pct"/>
            <w:vAlign w:val="center"/>
          </w:tcPr>
          <w:p w14:paraId="589CA584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库板要求</w:t>
            </w:r>
          </w:p>
        </w:tc>
        <w:tc>
          <w:tcPr>
            <w:tcW w:w="350" w:type="pct"/>
            <w:vAlign w:val="center"/>
          </w:tcPr>
          <w:p w14:paraId="53622E2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库板厚度</w:t>
            </w:r>
            <w:r>
              <w:rPr>
                <w:rFonts w:hint="eastAsia" w:ascii="宋体" w:hAnsi="宋体"/>
                <w:sz w:val="18"/>
                <w:szCs w:val="18"/>
              </w:rPr>
              <w:t>㎜</w:t>
            </w:r>
          </w:p>
        </w:tc>
        <w:tc>
          <w:tcPr>
            <w:tcW w:w="807" w:type="pct"/>
            <w:vAlign w:val="center"/>
          </w:tcPr>
          <w:p w14:paraId="74A336D2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冷库门</w:t>
            </w:r>
          </w:p>
        </w:tc>
        <w:tc>
          <w:tcPr>
            <w:tcW w:w="902" w:type="pct"/>
            <w:vAlign w:val="center"/>
          </w:tcPr>
          <w:p w14:paraId="049D9AF7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制冷</w:t>
            </w:r>
            <w:r>
              <w:rPr>
                <w:rFonts w:ascii="宋体" w:hAnsi="宋体" w:cs="Arial"/>
                <w:sz w:val="18"/>
                <w:szCs w:val="18"/>
              </w:rPr>
              <w:t>设备</w:t>
            </w:r>
          </w:p>
        </w:tc>
      </w:tr>
      <w:tr w14:paraId="62A7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299" w:type="pct"/>
            <w:vAlign w:val="center"/>
          </w:tcPr>
          <w:p w14:paraId="1E35798A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439" w:type="pct"/>
            <w:vAlign w:val="center"/>
          </w:tcPr>
          <w:p w14:paraId="5AEC461D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#冷冻库</w:t>
            </w:r>
          </w:p>
        </w:tc>
        <w:tc>
          <w:tcPr>
            <w:tcW w:w="434" w:type="pct"/>
            <w:vAlign w:val="center"/>
          </w:tcPr>
          <w:p w14:paraId="71129BE9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宋体" w:hAnsi="宋体" w:cs="Arial"/>
                <w:sz w:val="18"/>
                <w:szCs w:val="18"/>
              </w:rPr>
              <w:t>-35</w:t>
            </w:r>
          </w:p>
        </w:tc>
        <w:tc>
          <w:tcPr>
            <w:tcW w:w="440" w:type="pct"/>
            <w:vAlign w:val="center"/>
          </w:tcPr>
          <w:p w14:paraId="27C50CD8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19.7</w:t>
            </w:r>
          </w:p>
        </w:tc>
        <w:tc>
          <w:tcPr>
            <w:tcW w:w="662" w:type="pct"/>
            <w:vAlign w:val="center"/>
          </w:tcPr>
          <w:p w14:paraId="23A6B54C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.8</w:t>
            </w:r>
          </w:p>
        </w:tc>
        <w:tc>
          <w:tcPr>
            <w:tcW w:w="662" w:type="pct"/>
            <w:vAlign w:val="center"/>
          </w:tcPr>
          <w:p w14:paraId="498D0196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1、墙板、顶板外彩钢内不锈钢；</w:t>
            </w:r>
          </w:p>
          <w:p w14:paraId="1E935ED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00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350" w:type="pct"/>
            <w:vAlign w:val="center"/>
          </w:tcPr>
          <w:p w14:paraId="16A7F2F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07" w:type="pct"/>
            <w:vAlign w:val="center"/>
          </w:tcPr>
          <w:p w14:paraId="15534D37">
            <w:pPr>
              <w:rPr>
                <w:rFonts w:ascii="Arial" w:hAnsi="Arial" w:cs="Arial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</w:rPr>
              <w:t>1、尺寸：800*1900*150（厚）</w:t>
            </w:r>
          </w:p>
          <w:p w14:paraId="4498F25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</w:rPr>
              <w:t>2、材质：不锈钢冷库门</w:t>
            </w:r>
          </w:p>
        </w:tc>
        <w:tc>
          <w:tcPr>
            <w:tcW w:w="902" w:type="pct"/>
            <w:vAlign w:val="center"/>
          </w:tcPr>
          <w:p w14:paraId="2FBBFE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1、风冷机组：</w:t>
            </w:r>
            <w:r>
              <w:rPr>
                <w:rFonts w:hint="eastAsia" w:ascii="Arial" w:hAnsi="Arial" w:cs="Arial"/>
                <w:sz w:val="18"/>
                <w:szCs w:val="18"/>
              </w:rPr>
              <w:t>利旧，</w:t>
            </w:r>
            <w:r>
              <w:rPr>
                <w:rFonts w:ascii="Arial" w:hAnsi="Arial" w:cs="Arial"/>
                <w:sz w:val="18"/>
                <w:szCs w:val="18"/>
              </w:rPr>
              <w:t>2台（1用1备）</w:t>
            </w:r>
          </w:p>
          <w:p w14:paraId="37A6A3A2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2、制冷机组：</w:t>
            </w:r>
            <w:r>
              <w:rPr>
                <w:rFonts w:hint="eastAsia" w:ascii="Arial" w:hAnsi="Arial" w:cs="Arial"/>
                <w:sz w:val="18"/>
                <w:szCs w:val="18"/>
              </w:rPr>
              <w:t>利旧，</w:t>
            </w:r>
            <w:r>
              <w:rPr>
                <w:rFonts w:ascii="Arial" w:hAnsi="Arial" w:cs="Arial"/>
                <w:sz w:val="18"/>
                <w:szCs w:val="18"/>
              </w:rPr>
              <w:t>2组 （1用1备）</w:t>
            </w:r>
          </w:p>
        </w:tc>
      </w:tr>
      <w:tr w14:paraId="1758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299" w:type="pct"/>
            <w:vAlign w:val="center"/>
          </w:tcPr>
          <w:p w14:paraId="6F389F31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439" w:type="pct"/>
            <w:vAlign w:val="center"/>
          </w:tcPr>
          <w:p w14:paraId="539A30D5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#冷冻库</w:t>
            </w:r>
          </w:p>
        </w:tc>
        <w:tc>
          <w:tcPr>
            <w:tcW w:w="434" w:type="pct"/>
            <w:vAlign w:val="center"/>
          </w:tcPr>
          <w:p w14:paraId="405F881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宋体" w:hAnsi="宋体" w:cs="Arial"/>
                <w:sz w:val="18"/>
                <w:szCs w:val="18"/>
              </w:rPr>
              <w:t>-35</w:t>
            </w:r>
          </w:p>
        </w:tc>
        <w:tc>
          <w:tcPr>
            <w:tcW w:w="440" w:type="pct"/>
            <w:vAlign w:val="center"/>
          </w:tcPr>
          <w:p w14:paraId="5860A72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6.1</w:t>
            </w:r>
          </w:p>
        </w:tc>
        <w:tc>
          <w:tcPr>
            <w:tcW w:w="662" w:type="pct"/>
            <w:vAlign w:val="center"/>
          </w:tcPr>
          <w:p w14:paraId="5037091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.8</w:t>
            </w:r>
          </w:p>
        </w:tc>
        <w:tc>
          <w:tcPr>
            <w:tcW w:w="662" w:type="pct"/>
            <w:vAlign w:val="center"/>
          </w:tcPr>
          <w:p w14:paraId="5A8AA004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1、墙板、顶板外彩钢内不锈钢；</w:t>
            </w:r>
          </w:p>
          <w:p w14:paraId="0486F396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00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350" w:type="pct"/>
            <w:vAlign w:val="center"/>
          </w:tcPr>
          <w:p w14:paraId="39A06A5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07" w:type="pct"/>
            <w:vAlign w:val="center"/>
          </w:tcPr>
          <w:p w14:paraId="38E2786D">
            <w:pPr>
              <w:rPr>
                <w:rFonts w:ascii="Arial" w:hAnsi="Arial" w:cs="Arial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</w:rPr>
              <w:t>1、尺寸：800*1900*150（厚）</w:t>
            </w:r>
          </w:p>
          <w:p w14:paraId="2CC5FDF0">
            <w:pPr>
              <w:spacing w:line="360" w:lineRule="auto"/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</w:rPr>
              <w:t>2、材质：不锈钢冷库门</w:t>
            </w:r>
          </w:p>
        </w:tc>
        <w:tc>
          <w:tcPr>
            <w:tcW w:w="902" w:type="pct"/>
            <w:vAlign w:val="center"/>
          </w:tcPr>
          <w:p w14:paraId="419F0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1、风冷机组：2台（1用1备）</w:t>
            </w:r>
          </w:p>
          <w:p w14:paraId="4D3556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2、制冷机组：2组 （1用1备）</w:t>
            </w:r>
          </w:p>
        </w:tc>
      </w:tr>
      <w:tr w14:paraId="3C89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299" w:type="pct"/>
            <w:vAlign w:val="center"/>
          </w:tcPr>
          <w:p w14:paraId="2409E3F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439" w:type="pct"/>
            <w:vAlign w:val="center"/>
          </w:tcPr>
          <w:p w14:paraId="00CE8D9C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</w:t>
            </w:r>
          </w:p>
          <w:p w14:paraId="34BFB0F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冲</w:t>
            </w:r>
          </w:p>
          <w:p w14:paraId="747F9AB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间</w:t>
            </w:r>
          </w:p>
        </w:tc>
        <w:tc>
          <w:tcPr>
            <w:tcW w:w="434" w:type="pct"/>
            <w:vAlign w:val="center"/>
          </w:tcPr>
          <w:p w14:paraId="4B6BD84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2~8</w:t>
            </w:r>
          </w:p>
        </w:tc>
        <w:tc>
          <w:tcPr>
            <w:tcW w:w="440" w:type="pct"/>
            <w:vAlign w:val="center"/>
          </w:tcPr>
          <w:p w14:paraId="3A86F4F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6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662" w:type="pct"/>
            <w:vAlign w:val="center"/>
          </w:tcPr>
          <w:p w14:paraId="6E90D2D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3.2</w:t>
            </w:r>
          </w:p>
        </w:tc>
        <w:tc>
          <w:tcPr>
            <w:tcW w:w="662" w:type="pct"/>
            <w:vAlign w:val="center"/>
          </w:tcPr>
          <w:p w14:paraId="000E6FEF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1、墙板、顶板外彩钢内不锈钢；</w:t>
            </w:r>
          </w:p>
          <w:p w14:paraId="04642609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00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1157" w:type="pct"/>
            <w:gridSpan w:val="2"/>
            <w:vAlign w:val="center"/>
          </w:tcPr>
          <w:p w14:paraId="76CF7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1、该区域内的地面铺设5mm不锈钢花纹板；</w:t>
            </w:r>
          </w:p>
          <w:p w14:paraId="59B26C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2、该区域内的墙面据地面1.2高安装20*100mm（高）不锈钢防撞板板</w:t>
            </w:r>
          </w:p>
          <w:p w14:paraId="38AC24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3、库板厚度100mm，库内不锈钢板、库外彩钢，钢板厚度0.6mm。</w:t>
            </w:r>
          </w:p>
          <w:p w14:paraId="4E6E97B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4、安装升降平台，载重2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hint="eastAsia" w:ascii="Arial" w:hAnsi="Arial" w:cs="Arial"/>
                <w:sz w:val="18"/>
                <w:szCs w:val="18"/>
              </w:rPr>
              <w:t>吨。</w:t>
            </w:r>
          </w:p>
        </w:tc>
        <w:tc>
          <w:tcPr>
            <w:tcW w:w="902" w:type="pct"/>
          </w:tcPr>
          <w:p w14:paraId="1EC11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1、冷凝机组与冷</w:t>
            </w:r>
            <w:r>
              <w:rPr>
                <w:rFonts w:hint="eastAsia" w:ascii="Arial" w:hAnsi="Arial" w:cs="Arial"/>
                <w:sz w:val="18"/>
                <w:szCs w:val="18"/>
              </w:rPr>
              <w:t>冻</w:t>
            </w:r>
            <w:r>
              <w:rPr>
                <w:rFonts w:ascii="Arial" w:hAnsi="Arial" w:cs="Arial"/>
                <w:sz w:val="18"/>
                <w:szCs w:val="18"/>
              </w:rPr>
              <w:t>库冷凝机组共用；</w:t>
            </w:r>
          </w:p>
          <w:p w14:paraId="3DD08F9F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2、冷风机组：1台（无需备用）</w:t>
            </w:r>
          </w:p>
        </w:tc>
      </w:tr>
      <w:tr w14:paraId="5534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299" w:type="pct"/>
            <w:vAlign w:val="center"/>
          </w:tcPr>
          <w:p w14:paraId="0E0F534A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439" w:type="pct"/>
            <w:vAlign w:val="center"/>
          </w:tcPr>
          <w:p w14:paraId="209F4819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常温控制间</w:t>
            </w:r>
          </w:p>
        </w:tc>
        <w:tc>
          <w:tcPr>
            <w:tcW w:w="434" w:type="pct"/>
            <w:vAlign w:val="center"/>
          </w:tcPr>
          <w:p w14:paraId="23ABE48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8~26</w:t>
            </w:r>
          </w:p>
        </w:tc>
        <w:tc>
          <w:tcPr>
            <w:tcW w:w="440" w:type="pct"/>
            <w:vAlign w:val="center"/>
          </w:tcPr>
          <w:p w14:paraId="7F27FC10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662" w:type="pct"/>
            <w:vAlign w:val="center"/>
          </w:tcPr>
          <w:p w14:paraId="5845AFA6">
            <w:pPr>
              <w:pStyle w:val="50"/>
              <w:spacing w:line="360" w:lineRule="auto"/>
              <w:ind w:left="360" w:firstLine="0" w:firstLineChars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2.7</w:t>
            </w:r>
          </w:p>
        </w:tc>
        <w:tc>
          <w:tcPr>
            <w:tcW w:w="662" w:type="pct"/>
            <w:vAlign w:val="center"/>
          </w:tcPr>
          <w:p w14:paraId="330F68D2">
            <w:pPr>
              <w:pStyle w:val="5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墙板、顶板外彩钢内不锈钢；</w:t>
            </w:r>
          </w:p>
          <w:p w14:paraId="1648342B">
            <w:pPr>
              <w:pStyle w:val="5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地板：原瓷砖地板</w:t>
            </w:r>
          </w:p>
        </w:tc>
        <w:tc>
          <w:tcPr>
            <w:tcW w:w="350" w:type="pct"/>
            <w:vAlign w:val="center"/>
          </w:tcPr>
          <w:p w14:paraId="7C5E874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807" w:type="pct"/>
            <w:vAlign w:val="center"/>
          </w:tcPr>
          <w:p w14:paraId="51C944B5">
            <w:pPr>
              <w:pStyle w:val="5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地面铺贴防滑地板砖；</w:t>
            </w:r>
          </w:p>
          <w:p w14:paraId="34E38F1C">
            <w:pPr>
              <w:pStyle w:val="5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地面整体升高1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mm</w:t>
            </w:r>
          </w:p>
        </w:tc>
        <w:tc>
          <w:tcPr>
            <w:tcW w:w="902" w:type="pct"/>
          </w:tcPr>
          <w:p w14:paraId="6E589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1、安装1台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eastAsia" w:ascii="Arial" w:hAnsi="Arial" w:cs="Arial"/>
                <w:sz w:val="18"/>
                <w:szCs w:val="18"/>
              </w:rPr>
              <w:t>p吊顶空调</w:t>
            </w:r>
          </w:p>
          <w:p w14:paraId="2F2B3A8D">
            <w:pPr>
              <w:pStyle w:val="50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排风机1台</w:t>
            </w:r>
          </w:p>
        </w:tc>
      </w:tr>
    </w:tbl>
    <w:p w14:paraId="5871832C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7" w:name="_Toc101533874"/>
      <w:r>
        <w:rPr>
          <w:rFonts w:hint="eastAsia" w:hAnsi="宋体"/>
          <w:b/>
          <w:bCs/>
          <w:sz w:val="24"/>
        </w:rPr>
        <w:t>5</w:t>
      </w:r>
      <w:r>
        <w:rPr>
          <w:rFonts w:hAnsi="宋体"/>
          <w:b/>
          <w:bCs/>
          <w:sz w:val="24"/>
        </w:rPr>
        <w:t>.2</w:t>
      </w:r>
      <w:r>
        <w:rPr>
          <w:rFonts w:hint="eastAsia" w:hAnsi="宋体"/>
          <w:b/>
          <w:bCs/>
          <w:sz w:val="24"/>
        </w:rPr>
        <w:t>技术要求及范围</w:t>
      </w:r>
      <w:bookmarkEnd w:id="7"/>
    </w:p>
    <w:p w14:paraId="4BF41B18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5.2.1项目内容：冷库制冷设备及库板的安装，包括冷库门、冷风机、风幕机、</w:t>
      </w:r>
      <w:r>
        <w:rPr>
          <w:rFonts w:hint="eastAsia" w:ascii="Arial" w:hAnsi="Arial" w:cs="Arial"/>
          <w:sz w:val="24"/>
        </w:rPr>
        <w:t>平衡窗、</w:t>
      </w:r>
      <w:r>
        <w:rPr>
          <w:rFonts w:ascii="Arial" w:hAnsi="Arial" w:cs="Arial"/>
          <w:sz w:val="24"/>
        </w:rPr>
        <w:t>膨胀阀、电磁阀、冷凝水排水，配电柜、控制柜等的采购及安装。</w:t>
      </w:r>
    </w:p>
    <w:p w14:paraId="04ABEDA2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5.2.2技术要求：制冷设备的安装应按用户需求配置，制冷机组配置应有20%左右的制冷富余量；冷库内各点温度应当均一</w:t>
      </w:r>
      <w:r>
        <w:rPr>
          <w:rFonts w:hint="eastAsia" w:ascii="Arial" w:hAnsi="Arial" w:cs="Arial"/>
          <w:sz w:val="24"/>
        </w:rPr>
        <w:t>致</w:t>
      </w:r>
      <w:r>
        <w:rPr>
          <w:rFonts w:ascii="Arial" w:hAnsi="Arial" w:cs="Arial"/>
          <w:sz w:val="24"/>
        </w:rPr>
        <w:t>，最高点与最低点温差不超过2</w:t>
      </w:r>
      <w:r>
        <w:rPr>
          <w:rFonts w:hint="eastAsia" w:ascii="宋体" w:hAnsi="宋体" w:cs="宋体"/>
          <w:sz w:val="24"/>
        </w:rPr>
        <w:t>℃</w:t>
      </w:r>
      <w:r>
        <w:rPr>
          <w:rFonts w:ascii="Arial" w:hAnsi="Arial" w:cs="Arial"/>
          <w:sz w:val="24"/>
        </w:rPr>
        <w:t>；冷库蒸发器（室内冷风机）采用热氟利昂化霜方式，化霜时库温回升不超过-21</w:t>
      </w:r>
      <w:r>
        <w:rPr>
          <w:rFonts w:hint="eastAsia" w:ascii="宋体" w:hAnsi="宋体" w:cs="宋体"/>
          <w:sz w:val="24"/>
        </w:rPr>
        <w:t>℃</w:t>
      </w:r>
      <w:r>
        <w:rPr>
          <w:rFonts w:ascii="Arial" w:hAnsi="Arial" w:cs="Arial"/>
          <w:sz w:val="24"/>
        </w:rPr>
        <w:t>，所有蒸发器（冷风机）外壳采用全304不锈钢材质，厚度2mm。</w:t>
      </w:r>
    </w:p>
    <w:p w14:paraId="36F0545D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5.2.3缓冲区的地面做法为100mm双面不锈钢库板+5mm不锈钢钢板（满焊），要求铺装后的地面及墙面需平整无拱起，钢板拼接处的缝隙用胶密封以防止渗漏，加装缓冲海绵能与运浆车无缝对接</w:t>
      </w:r>
      <w:r>
        <w:rPr>
          <w:rFonts w:hint="eastAsia" w:ascii="Arial" w:hAnsi="Arial" w:cs="Arial"/>
          <w:sz w:val="24"/>
        </w:rPr>
        <w:t>门封</w:t>
      </w:r>
      <w:r>
        <w:rPr>
          <w:rFonts w:ascii="Arial" w:hAnsi="Arial" w:cs="Arial"/>
          <w:sz w:val="24"/>
        </w:rPr>
        <w:t>。</w:t>
      </w:r>
    </w:p>
    <w:p w14:paraId="1BA05D32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5.2.4重建血浆储存冷库内需配置两台制冷机组，</w:t>
      </w:r>
      <w:r>
        <w:rPr>
          <w:rFonts w:ascii="Arial" w:hAnsi="Arial" w:cs="Arial"/>
          <w:bCs/>
          <w:sz w:val="24"/>
        </w:rPr>
        <w:t>两</w:t>
      </w:r>
      <w:r>
        <w:rPr>
          <w:rFonts w:ascii="Arial" w:hAnsi="Arial" w:cs="Arial"/>
          <w:sz w:val="24"/>
        </w:rPr>
        <w:t>台制冷机组化霜</w:t>
      </w:r>
      <w:r>
        <w:rPr>
          <w:rFonts w:hint="eastAsia" w:ascii="Arial" w:hAnsi="Arial" w:cs="Arial"/>
          <w:sz w:val="24"/>
        </w:rPr>
        <w:t>为热氟化霜系统，</w:t>
      </w:r>
      <w:r>
        <w:rPr>
          <w:rFonts w:ascii="Arial" w:hAnsi="Arial" w:cs="Arial"/>
          <w:sz w:val="24"/>
        </w:rPr>
        <w:t>应实现互锁，需确保化霜时冷库内温度平稳，制冷控温方式为24小时制冷</w:t>
      </w:r>
      <w:r>
        <w:rPr>
          <w:rFonts w:hint="eastAsia" w:ascii="Arial" w:hAnsi="Arial" w:cs="Arial"/>
          <w:sz w:val="24"/>
        </w:rPr>
        <w:t>，储存冷库运行温度为</w:t>
      </w:r>
      <w:r>
        <w:rPr>
          <w:rFonts w:ascii="Arial" w:hAnsi="Arial" w:cs="Arial"/>
          <w:bCs/>
          <w:sz w:val="24"/>
        </w:rPr>
        <w:t>-25</w:t>
      </w:r>
      <w:r>
        <w:rPr>
          <w:rFonts w:ascii="Arial" w:hAnsi="Arial" w:cs="Arial"/>
          <w:sz w:val="24"/>
        </w:rPr>
        <w:t>～-</w:t>
      </w:r>
      <w:r>
        <w:rPr>
          <w:rFonts w:hint="eastAsia" w:ascii="Arial" w:hAnsi="Arial" w:cs="Arial"/>
          <w:sz w:val="24"/>
        </w:rPr>
        <w:t>35</w:t>
      </w:r>
      <w:r>
        <w:rPr>
          <w:rFonts w:hint="eastAsia" w:ascii="宋体" w:hAnsi="宋体" w:cs="宋体"/>
          <w:sz w:val="24"/>
        </w:rPr>
        <w:t>℃</w:t>
      </w:r>
      <w:r>
        <w:rPr>
          <w:rFonts w:ascii="Arial" w:hAnsi="Arial" w:cs="Arial"/>
          <w:sz w:val="24"/>
        </w:rPr>
        <w:t>，温度可调，降温速率从常温降至-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hint="eastAsia" w:ascii="Arial" w:hAnsi="Arial" w:cs="Arial"/>
          <w:sz w:val="24"/>
        </w:rPr>
        <w:t>5</w:t>
      </w:r>
      <w:r>
        <w:rPr>
          <w:rFonts w:hint="eastAsia" w:ascii="宋体" w:hAnsi="宋体" w:cs="宋体"/>
          <w:sz w:val="24"/>
        </w:rPr>
        <w:t>℃</w:t>
      </w:r>
      <w:r>
        <w:rPr>
          <w:rFonts w:ascii="Arial" w:hAnsi="Arial" w:cs="Arial"/>
          <w:sz w:val="24"/>
        </w:rPr>
        <w:t>不大于</w:t>
      </w:r>
      <w:r>
        <w:rPr>
          <w:rFonts w:hint="eastAsia" w:ascii="Arial" w:hAnsi="Arial" w:cs="Arial"/>
          <w:sz w:val="24"/>
          <w:lang w:val="en-US" w:eastAsia="zh-CN"/>
        </w:rPr>
        <w:t>2</w:t>
      </w:r>
      <w:r>
        <w:rPr>
          <w:rFonts w:ascii="Arial" w:hAnsi="Arial" w:cs="Arial"/>
          <w:sz w:val="24"/>
        </w:rPr>
        <w:t>小时</w:t>
      </w:r>
      <w:r>
        <w:rPr>
          <w:rFonts w:hint="eastAsia" w:ascii="Arial" w:hAnsi="Arial" w:cs="Arial"/>
          <w:sz w:val="24"/>
        </w:rPr>
        <w:t>；冷缓冲区</w:t>
      </w:r>
      <w:r>
        <w:rPr>
          <w:rFonts w:ascii="Arial" w:hAnsi="Arial" w:cs="Arial"/>
          <w:sz w:val="24"/>
        </w:rPr>
        <w:t>降温速率从常温降至</w:t>
      </w:r>
      <w:r>
        <w:rPr>
          <w:rFonts w:hint="eastAsia" w:ascii="Arial" w:hAnsi="Arial" w:cs="Arial"/>
          <w:sz w:val="24"/>
        </w:rPr>
        <w:t>8</w:t>
      </w:r>
      <w:r>
        <w:rPr>
          <w:rFonts w:hint="eastAsia" w:ascii="宋体" w:hAnsi="宋体" w:cs="宋体"/>
          <w:sz w:val="24"/>
        </w:rPr>
        <w:t>℃</w:t>
      </w:r>
      <w:r>
        <w:rPr>
          <w:rFonts w:ascii="Arial" w:hAnsi="Arial" w:cs="Arial"/>
          <w:sz w:val="24"/>
        </w:rPr>
        <w:t>不大于</w:t>
      </w:r>
      <w:r>
        <w:rPr>
          <w:rFonts w:hint="eastAsia"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小时</w:t>
      </w:r>
      <w:r>
        <w:rPr>
          <w:rFonts w:hint="eastAsia" w:ascii="Arial" w:hAnsi="Arial" w:cs="Arial"/>
          <w:sz w:val="24"/>
        </w:rPr>
        <w:t>。</w:t>
      </w:r>
    </w:p>
    <w:p w14:paraId="3DAC2019">
      <w:pPr>
        <w:numPr>
          <w:ilvl w:val="0"/>
          <w:numId w:val="4"/>
        </w:numPr>
        <w:spacing w:line="360" w:lineRule="auto"/>
        <w:outlineLvl w:val="0"/>
        <w:rPr>
          <w:rFonts w:hAnsi="宋体"/>
          <w:b/>
          <w:bCs/>
          <w:vanish/>
          <w:sz w:val="24"/>
        </w:rPr>
      </w:pPr>
      <w:bookmarkStart w:id="8" w:name="_Toc101533875"/>
      <w:bookmarkStart w:id="9" w:name="_Toc482"/>
      <w:r>
        <w:rPr>
          <w:rFonts w:hint="eastAsia" w:ascii="宋体" w:hAnsi="宋体"/>
          <w:b/>
          <w:sz w:val="24"/>
        </w:rPr>
        <w:t>用户及系统要求</w:t>
      </w:r>
      <w:bookmarkEnd w:id="8"/>
      <w:bookmarkEnd w:id="9"/>
    </w:p>
    <w:p w14:paraId="4CC565E3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0" w:name="_Toc101533876"/>
      <w:r>
        <w:rPr>
          <w:rFonts w:hint="eastAsia" w:hAnsi="宋体"/>
          <w:b/>
          <w:bCs/>
          <w:sz w:val="24"/>
        </w:rPr>
        <w:t>6.1生产工艺要求</w:t>
      </w:r>
      <w:bookmarkEnd w:id="10"/>
    </w:p>
    <w:tbl>
      <w:tblPr>
        <w:tblStyle w:val="31"/>
        <w:tblW w:w="9975" w:type="dxa"/>
        <w:tblInd w:w="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54"/>
        <w:gridCol w:w="1365"/>
      </w:tblGrid>
      <w:tr w14:paraId="30A7EC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shd w:val="clear" w:color="auto" w:fill="C0C0C0"/>
            <w:vAlign w:val="center"/>
          </w:tcPr>
          <w:p w14:paraId="1D424992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需求编号</w:t>
            </w:r>
          </w:p>
        </w:tc>
        <w:tc>
          <w:tcPr>
            <w:tcW w:w="7254" w:type="dxa"/>
            <w:shd w:val="clear" w:color="auto" w:fill="C0C0C0"/>
            <w:vAlign w:val="center"/>
          </w:tcPr>
          <w:p w14:paraId="1691F5AD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</w:t>
            </w:r>
          </w:p>
        </w:tc>
        <w:tc>
          <w:tcPr>
            <w:tcW w:w="1365" w:type="dxa"/>
            <w:shd w:val="clear" w:color="auto" w:fill="C0C0C0"/>
            <w:vAlign w:val="center"/>
          </w:tcPr>
          <w:p w14:paraId="56F755F5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必需/期望</w:t>
            </w:r>
          </w:p>
        </w:tc>
      </w:tr>
      <w:tr w14:paraId="4E4861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56" w:type="dxa"/>
            <w:vAlign w:val="center"/>
          </w:tcPr>
          <w:p w14:paraId="4926707E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1</w:t>
            </w:r>
          </w:p>
        </w:tc>
        <w:tc>
          <w:tcPr>
            <w:tcW w:w="7254" w:type="dxa"/>
            <w:vAlign w:val="center"/>
          </w:tcPr>
          <w:p w14:paraId="68C770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项目系统内容：本项目旧冷库升级改造工程，包括旧冷库所有相关设施设备、库房设计、检查和测试、包装运输、安装、调试、运行、验收交付。主要</w:t>
            </w:r>
            <w:r>
              <w:rPr>
                <w:rFonts w:hint="eastAsia" w:ascii="宋体" w:hAnsi="宋体" w:cs="宋体"/>
                <w:spacing w:val="-3"/>
                <w:sz w:val="24"/>
                <w:lang w:val="en-GB"/>
              </w:rPr>
              <w:t>包括</w:t>
            </w:r>
            <w:r>
              <w:rPr>
                <w:rFonts w:hint="eastAsia" w:ascii="宋体" w:hAnsi="宋体" w:cs="宋体"/>
                <w:sz w:val="24"/>
              </w:rPr>
              <w:t>库板、</w:t>
            </w:r>
            <w:r>
              <w:rPr>
                <w:rFonts w:hint="eastAsia" w:ascii="宋体" w:hAnsi="宋体" w:cs="宋体"/>
                <w:spacing w:val="-3"/>
                <w:sz w:val="24"/>
                <w:lang w:val="en-GB"/>
              </w:rPr>
              <w:t>制冷压缩机组</w:t>
            </w:r>
            <w:r>
              <w:rPr>
                <w:rFonts w:hint="eastAsia" w:ascii="宋体" w:hAnsi="宋体" w:cs="宋体"/>
                <w:sz w:val="24"/>
              </w:rPr>
              <w:t>、风机、控制系统、附件（包括系统所需的各种泵、阀、电动控制调节器、仪器仪表等）。</w:t>
            </w:r>
          </w:p>
        </w:tc>
        <w:tc>
          <w:tcPr>
            <w:tcW w:w="1365" w:type="dxa"/>
            <w:vAlign w:val="center"/>
          </w:tcPr>
          <w:p w14:paraId="54FD09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67F93D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56" w:type="dxa"/>
            <w:vAlign w:val="center"/>
          </w:tcPr>
          <w:p w14:paraId="0E7E3DEE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2</w:t>
            </w:r>
          </w:p>
        </w:tc>
        <w:tc>
          <w:tcPr>
            <w:tcW w:w="7254" w:type="dxa"/>
            <w:vAlign w:val="center"/>
          </w:tcPr>
          <w:p w14:paraId="27B4B10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法规和指南要求：冷库所有相关设施设备、库房设计、检查和测试、包装运输、安装、调试、运行、验收交付应符合本URS 2. 适用的法规和指南”要求。</w:t>
            </w:r>
          </w:p>
        </w:tc>
        <w:tc>
          <w:tcPr>
            <w:tcW w:w="1365" w:type="dxa"/>
            <w:vAlign w:val="center"/>
          </w:tcPr>
          <w:p w14:paraId="0C4E94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59B63D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04DBB754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3</w:t>
            </w:r>
          </w:p>
        </w:tc>
        <w:tc>
          <w:tcPr>
            <w:tcW w:w="7254" w:type="dxa"/>
            <w:vAlign w:val="center"/>
          </w:tcPr>
          <w:p w14:paraId="7B1F0151">
            <w:pPr>
              <w:pStyle w:val="50"/>
              <w:spacing w:line="360" w:lineRule="auto"/>
              <w:ind w:firstLine="0" w:firstLineChars="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、新建</w:t>
            </w:r>
            <w:r>
              <w:rPr>
                <w:rFonts w:hint="eastAsia" w:ascii="Arial" w:hAnsi="Arial" w:cs="Arial"/>
                <w:sz w:val="24"/>
              </w:rPr>
              <w:t>2#</w:t>
            </w:r>
            <w:r>
              <w:rPr>
                <w:rFonts w:ascii="Arial" w:hAnsi="Arial" w:cs="Arial"/>
                <w:sz w:val="24"/>
              </w:rPr>
              <w:t>血浆储存冷库温度要求达：-20~-35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  <w:p w14:paraId="073FC008">
            <w:pPr>
              <w:pStyle w:val="50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、缓冲区温度达：2~8</w:t>
            </w:r>
            <w:r>
              <w:rPr>
                <w:rFonts w:hint="eastAsia" w:ascii="宋体" w:hAnsi="宋体" w:cs="宋体"/>
                <w:sz w:val="24"/>
              </w:rPr>
              <w:t>℃</w:t>
            </w:r>
          </w:p>
          <w:p w14:paraId="6810319D">
            <w:pPr>
              <w:pStyle w:val="50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3、改造1#血浆储存冷库温度要求达：</w:t>
            </w:r>
            <w:r>
              <w:rPr>
                <w:rFonts w:ascii="Arial" w:hAnsi="Arial" w:cs="Arial"/>
                <w:sz w:val="24"/>
              </w:rPr>
              <w:t>-20~-35</w:t>
            </w:r>
            <w:r>
              <w:rPr>
                <w:rFonts w:hint="eastAsia" w:ascii="宋体" w:hAnsi="宋体" w:cs="宋体"/>
                <w:sz w:val="24"/>
              </w:rPr>
              <w:t>℃</w:t>
            </w:r>
          </w:p>
        </w:tc>
        <w:tc>
          <w:tcPr>
            <w:tcW w:w="1365" w:type="dxa"/>
            <w:vAlign w:val="center"/>
          </w:tcPr>
          <w:p w14:paraId="64A27D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6677E1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1091C207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4</w:t>
            </w:r>
          </w:p>
        </w:tc>
        <w:tc>
          <w:tcPr>
            <w:tcW w:w="7254" w:type="dxa"/>
            <w:vAlign w:val="center"/>
          </w:tcPr>
          <w:p w14:paraId="4A02AB0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1、控制方式：系统按自动运行设计，具有手动控制运行功能。带声光报警，自动化霜，缺相保护，电流保护，压力保护等，远程监控，关键控制参数可设置。</w:t>
            </w:r>
          </w:p>
          <w:p w14:paraId="651BD0A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自控系统需实现：</w:t>
            </w:r>
          </w:p>
          <w:p w14:paraId="6D19ECA9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hint="eastAsia"/>
                <w:sz w:val="24"/>
              </w:rPr>
              <w:t>控制程序实现化霜后表冷器有滴水、预冷控制功能，减少化霜后表冷器温度升高对库房温度影响；</w:t>
            </w:r>
          </w:p>
          <w:p w14:paraId="2480749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hint="eastAsia"/>
                <w:sz w:val="24"/>
              </w:rPr>
              <w:t>控制程序实现制冷机组轮换使用控制功能，以降低能耗和减少化霜的次数，避免制冷机组频繁启停；</w:t>
            </w:r>
          </w:p>
          <w:p w14:paraId="66C2688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/>
                <w:sz w:val="24"/>
              </w:rPr>
              <w:t>4、两台制冷机组化霜应实现互锁，确保库房热点温度</w:t>
            </w:r>
            <w:r>
              <w:rPr>
                <w:rFonts w:hint="eastAsia" w:ascii="宋体" w:hAnsi="宋体" w:cs="宋体"/>
                <w:sz w:val="24"/>
              </w:rPr>
              <w:t>≦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.0℃；</w:t>
            </w:r>
          </w:p>
        </w:tc>
        <w:tc>
          <w:tcPr>
            <w:tcW w:w="1365" w:type="dxa"/>
            <w:vAlign w:val="center"/>
          </w:tcPr>
          <w:p w14:paraId="5BBA6F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662899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17406A42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5</w:t>
            </w:r>
          </w:p>
        </w:tc>
        <w:tc>
          <w:tcPr>
            <w:tcW w:w="7254" w:type="dxa"/>
            <w:vAlign w:val="center"/>
          </w:tcPr>
          <w:p w14:paraId="4545AD7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自动控制包括：</w:t>
            </w:r>
          </w:p>
          <w:p w14:paraId="56FCFA3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库内安装连续温度监控设备。</w:t>
            </w:r>
          </w:p>
          <w:p w14:paraId="1F6680B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能自动记录温度数据，并具有自动备份功能。</w:t>
            </w:r>
          </w:p>
          <w:p w14:paraId="474C2B6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库外有温度实时显示，异常时能触发报警。</w:t>
            </w:r>
          </w:p>
          <w:p w14:paraId="0A6CA06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高于-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℃时自动启动，低于-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℃时自动停机（启动及停机温度可自行设定）；风机的融霜、风机或制冷机组发生故障时报警等其他需自动控制的地方。</w:t>
            </w:r>
          </w:p>
          <w:p w14:paraId="7A90D43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配置有控制面板，有物理保护措施，操作界面使用密码登入。</w:t>
            </w:r>
          </w:p>
          <w:p w14:paraId="49FFF06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可设置和调整制冷机组参数。</w:t>
            </w:r>
          </w:p>
          <w:p w14:paraId="128542F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可保存和打印温度数据，可远程下载温度数据。</w:t>
            </w:r>
          </w:p>
          <w:p w14:paraId="1ED7C1B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可设置报警系统参数。</w:t>
            </w:r>
          </w:p>
        </w:tc>
        <w:tc>
          <w:tcPr>
            <w:tcW w:w="1365" w:type="dxa"/>
            <w:vAlign w:val="center"/>
          </w:tcPr>
          <w:p w14:paraId="4B95B2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</w:tbl>
    <w:p w14:paraId="0CC4E087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1" w:name="_Toc101533877"/>
      <w:r>
        <w:rPr>
          <w:rFonts w:hint="eastAsia" w:hAnsi="宋体"/>
          <w:b/>
          <w:bCs/>
          <w:sz w:val="24"/>
        </w:rPr>
        <w:t>6.2厂房设施及公用系统要求</w:t>
      </w:r>
      <w:bookmarkEnd w:id="11"/>
    </w:p>
    <w:tbl>
      <w:tblPr>
        <w:tblStyle w:val="31"/>
        <w:tblW w:w="9975" w:type="dxa"/>
        <w:tblInd w:w="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455"/>
        <w:gridCol w:w="1155"/>
      </w:tblGrid>
      <w:tr w14:paraId="5E8A5A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C0C0C0"/>
            <w:vAlign w:val="center"/>
          </w:tcPr>
          <w:p w14:paraId="5C0D8C08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需求编号</w:t>
            </w:r>
          </w:p>
        </w:tc>
        <w:tc>
          <w:tcPr>
            <w:tcW w:w="7455" w:type="dxa"/>
            <w:shd w:val="clear" w:color="auto" w:fill="C0C0C0"/>
            <w:vAlign w:val="center"/>
          </w:tcPr>
          <w:p w14:paraId="4FAEB00F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</w:t>
            </w:r>
          </w:p>
        </w:tc>
        <w:tc>
          <w:tcPr>
            <w:tcW w:w="1155" w:type="dxa"/>
            <w:shd w:val="clear" w:color="auto" w:fill="C0C0C0"/>
            <w:vAlign w:val="center"/>
          </w:tcPr>
          <w:p w14:paraId="783435FD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必需/期望</w:t>
            </w:r>
          </w:p>
        </w:tc>
      </w:tr>
      <w:tr w14:paraId="6E3669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65" w:type="dxa"/>
            <w:vAlign w:val="center"/>
          </w:tcPr>
          <w:p w14:paraId="341D390B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6</w:t>
            </w:r>
          </w:p>
        </w:tc>
        <w:tc>
          <w:tcPr>
            <w:tcW w:w="7455" w:type="dxa"/>
            <w:vAlign w:val="center"/>
          </w:tcPr>
          <w:p w14:paraId="0BEFC90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采购冷库需配置双制冷机组的原则，以确保融霜时温度符合规定要求。</w:t>
            </w:r>
          </w:p>
        </w:tc>
        <w:tc>
          <w:tcPr>
            <w:tcW w:w="1155" w:type="dxa"/>
            <w:vAlign w:val="center"/>
          </w:tcPr>
          <w:p w14:paraId="142442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</w:tbl>
    <w:p w14:paraId="0DEED54F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2" w:name="_Toc20268"/>
      <w:bookmarkStart w:id="13" w:name="_Toc101533878"/>
      <w:r>
        <w:rPr>
          <w:rFonts w:hint="eastAsia" w:hAnsi="宋体"/>
          <w:b/>
          <w:bCs/>
          <w:sz w:val="24"/>
        </w:rPr>
        <w:t>6.3制冷系统配置要求</w:t>
      </w:r>
      <w:bookmarkEnd w:id="12"/>
      <w:bookmarkEnd w:id="13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3D5B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42ECD9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6A7CBDB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4F9D5AC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20F0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1E65B5D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6916" w:type="dxa"/>
            <w:vAlign w:val="center"/>
          </w:tcPr>
          <w:p w14:paraId="77D48F0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制冷系统的配置应满足每天24小时连续工作要求，在规定时间内达到冷库工作温度要求。冷库制冷机组配置自控联动轮换运行。</w:t>
            </w:r>
          </w:p>
        </w:tc>
        <w:tc>
          <w:tcPr>
            <w:tcW w:w="1538" w:type="dxa"/>
            <w:vAlign w:val="center"/>
          </w:tcPr>
          <w:p w14:paraId="367D350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F1F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BBD958B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08</w:t>
            </w:r>
          </w:p>
        </w:tc>
        <w:tc>
          <w:tcPr>
            <w:tcW w:w="6916" w:type="dxa"/>
            <w:vAlign w:val="center"/>
          </w:tcPr>
          <w:p w14:paraId="6E82F2E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冷库制冷系统采用直接蒸发式方式降温，制冷剂采用高效、环保制冷剂（R507）。</w:t>
            </w:r>
          </w:p>
        </w:tc>
        <w:tc>
          <w:tcPr>
            <w:tcW w:w="1538" w:type="dxa"/>
            <w:vAlign w:val="center"/>
          </w:tcPr>
          <w:p w14:paraId="1D51C2A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0D0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67D9E5C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6916" w:type="dxa"/>
            <w:vAlign w:val="center"/>
          </w:tcPr>
          <w:p w14:paraId="3052EA4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血浆冷库制冷设备的制冷极限需达到-35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</w:tc>
        <w:tc>
          <w:tcPr>
            <w:tcW w:w="1538" w:type="dxa"/>
            <w:vAlign w:val="center"/>
          </w:tcPr>
          <w:p w14:paraId="55B0A9F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81E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26D44C8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6916" w:type="dxa"/>
            <w:vAlign w:val="center"/>
          </w:tcPr>
          <w:p w14:paraId="224E4E0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ascii="Arial" w:hAnsi="Arial" w:cs="Arial"/>
                <w:color w:val="auto"/>
                <w:sz w:val="24"/>
              </w:rPr>
              <w:t>蒸发器采用</w:t>
            </w:r>
            <w:r>
              <w:rPr>
                <w:rFonts w:hint="eastAsia" w:ascii="Arial" w:hAnsi="Arial" w:cs="Arial"/>
                <w:color w:val="auto"/>
                <w:sz w:val="24"/>
              </w:rPr>
              <w:t>高效开窗式或同等高效换热翅片类型</w:t>
            </w:r>
            <w:r>
              <w:rPr>
                <w:rFonts w:ascii="Arial" w:hAnsi="Arial" w:cs="Arial"/>
                <w:color w:val="auto"/>
                <w:sz w:val="24"/>
              </w:rPr>
              <w:t>，</w:t>
            </w:r>
            <w:r>
              <w:rPr>
                <w:rFonts w:hint="eastAsia" w:ascii="Arial" w:hAnsi="Arial" w:cs="Arial"/>
                <w:color w:val="auto"/>
                <w:sz w:val="24"/>
              </w:rPr>
              <w:t>采用内螺纹铜管，整机需获得欧洲EUROVENT认证，</w:t>
            </w:r>
            <w:r>
              <w:rPr>
                <w:rFonts w:ascii="Arial" w:hAnsi="Arial" w:cs="Arial"/>
                <w:color w:val="auto"/>
                <w:sz w:val="24"/>
              </w:rPr>
              <w:t>并安装有防止化霜时蒸发器热量扩散的装置，融霜方式为热氟化霜，自动化程度高，投资省，年运行成本低。</w:t>
            </w:r>
          </w:p>
          <w:p w14:paraId="19B7AEB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</w:rPr>
              <w:t>蒸发器采用高效风冷机组，304不锈钢外壳，并安装有防止化霜时蒸发器热量扩散的装置，融霜方式为热氟化霜，自动化程度高，投资省，年运行成本低。</w:t>
            </w:r>
          </w:p>
          <w:p w14:paraId="428D178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、化霜温度要求：化霜对库房温度影响≦3.0℃</w:t>
            </w:r>
          </w:p>
          <w:p w14:paraId="50EA28F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、蒸发器连续运行6个月，蒸发器内表面及风叶无明显结冰。</w:t>
            </w:r>
          </w:p>
        </w:tc>
        <w:tc>
          <w:tcPr>
            <w:tcW w:w="1538" w:type="dxa"/>
            <w:vAlign w:val="center"/>
          </w:tcPr>
          <w:p w14:paraId="0B669C6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0EC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F184AAA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6916" w:type="dxa"/>
            <w:vAlign w:val="center"/>
          </w:tcPr>
          <w:p w14:paraId="0E93D6AB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1、</w:t>
            </w:r>
            <w:r>
              <w:rPr>
                <w:rFonts w:ascii="Arial" w:hAnsi="Arial" w:cs="Arial"/>
                <w:sz w:val="24"/>
              </w:rPr>
              <w:t>库内冷风机的风速、风程应满足降温要求，冷库降温设定温度与库房实际温度温差不超过±1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  <w:p w14:paraId="3537B312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>
              <w:rPr>
                <w:rFonts w:hint="eastAsia" w:ascii="Arial" w:hAnsi="Arial" w:cs="Arial"/>
                <w:sz w:val="24"/>
              </w:rPr>
              <w:t>、</w:t>
            </w:r>
            <w:r>
              <w:rPr>
                <w:rFonts w:ascii="Arial" w:hAnsi="Arial" w:cs="Arial"/>
                <w:sz w:val="24"/>
              </w:rPr>
              <w:t>库内冷风机</w:t>
            </w:r>
            <w:r>
              <w:rPr>
                <w:rFonts w:hint="eastAsia" w:ascii="Arial" w:hAnsi="Arial" w:cs="Arial"/>
                <w:sz w:val="24"/>
              </w:rPr>
              <w:t>每个出风口需安装专用风带，防止化霜时库房温度升高。</w:t>
            </w:r>
          </w:p>
          <w:p w14:paraId="5786272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3、蒸发器翅片片距为10mm，采用双层接水盘设计，为了更好的散热及化霜。</w:t>
            </w:r>
          </w:p>
        </w:tc>
        <w:tc>
          <w:tcPr>
            <w:tcW w:w="1538" w:type="dxa"/>
            <w:vAlign w:val="center"/>
          </w:tcPr>
          <w:p w14:paraId="1766F96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355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4F82573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6916" w:type="dxa"/>
            <w:vAlign w:val="center"/>
          </w:tcPr>
          <w:p w14:paraId="071A0A5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室外机采用户外型箱体机，具有防雨、防雷功能，安装要求加防震措施。</w:t>
            </w:r>
          </w:p>
        </w:tc>
        <w:tc>
          <w:tcPr>
            <w:tcW w:w="1538" w:type="dxa"/>
            <w:vAlign w:val="center"/>
          </w:tcPr>
          <w:p w14:paraId="39DC2E3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1614F41C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4" w:name="_Toc32734"/>
      <w:bookmarkStart w:id="15" w:name="_Toc101533879"/>
      <w:r>
        <w:rPr>
          <w:rFonts w:hint="eastAsia" w:hAnsi="宋体"/>
          <w:b/>
          <w:bCs/>
          <w:sz w:val="24"/>
        </w:rPr>
        <w:t>6.4电气及温度控制系统的要求</w:t>
      </w:r>
      <w:bookmarkEnd w:id="14"/>
      <w:bookmarkEnd w:id="15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740E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61490A0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6CA1A7D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35F5DC4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3EC3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5017B9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6916" w:type="dxa"/>
            <w:vAlign w:val="center"/>
          </w:tcPr>
          <w:p w14:paraId="2954DAE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每个冷库均有独立的自控系统，采用群控和单控功能，采用手动切换开关实现群控和单控的切换，群控功能为常用控制方式，单控功能为备用控制方式，但群控功能故障或者瘫痪时可随时启用单控模式进行运作。</w:t>
            </w:r>
          </w:p>
          <w:p w14:paraId="6C477EA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1.1、群控：由物联网控制PLC系统控制，实现对两套制冷系统进行控制，系统可实现手机客户端进行远程访问和控制；</w:t>
            </w:r>
          </w:p>
          <w:p w14:paraId="69594C0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1.2、单控：由微电脑温度控制表进行控制，实现每套冷库制冷系统进行单独控制；</w:t>
            </w:r>
          </w:p>
        </w:tc>
        <w:tc>
          <w:tcPr>
            <w:tcW w:w="1538" w:type="dxa"/>
            <w:vAlign w:val="center"/>
          </w:tcPr>
          <w:p w14:paraId="52B6A53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D32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2849A1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6916" w:type="dxa"/>
            <w:vAlign w:val="center"/>
          </w:tcPr>
          <w:p w14:paraId="0D61037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配电箱：</w:t>
            </w:r>
          </w:p>
          <w:p w14:paraId="7A7012C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1、需配备配电</w:t>
            </w:r>
            <w:r>
              <w:rPr>
                <w:rFonts w:ascii="宋体" w:hAnsi="宋体" w:cs="宋体"/>
                <w:sz w:val="24"/>
              </w:rPr>
              <w:t>箱</w:t>
            </w:r>
            <w:r>
              <w:rPr>
                <w:rFonts w:hint="eastAsia" w:ascii="宋体" w:hAnsi="宋体" w:cs="宋体"/>
                <w:sz w:val="24"/>
              </w:rPr>
              <w:t>和</w:t>
            </w:r>
            <w:r>
              <w:rPr>
                <w:rFonts w:ascii="宋体" w:hAnsi="宋体" w:cs="宋体"/>
                <w:sz w:val="24"/>
              </w:rPr>
              <w:t>仪表温控箱，</w:t>
            </w:r>
            <w:r>
              <w:rPr>
                <w:rFonts w:hint="eastAsia" w:ascii="宋体" w:hAnsi="宋体" w:cs="宋体"/>
                <w:sz w:val="24"/>
              </w:rPr>
              <w:t>配</w:t>
            </w:r>
            <w:r>
              <w:rPr>
                <w:rFonts w:ascii="宋体" w:hAnsi="宋体" w:cs="宋体"/>
                <w:sz w:val="24"/>
              </w:rPr>
              <w:t>电</w:t>
            </w:r>
            <w:r>
              <w:rPr>
                <w:rFonts w:hint="eastAsia" w:ascii="宋体" w:hAnsi="宋体" w:cs="宋体"/>
                <w:sz w:val="24"/>
              </w:rPr>
              <w:t>箱安装在一层电房。</w:t>
            </w:r>
            <w:r>
              <w:rPr>
                <w:rFonts w:ascii="宋体" w:hAnsi="宋体" w:cs="宋体"/>
                <w:sz w:val="24"/>
              </w:rPr>
              <w:t>仪表控制箱安装在</w:t>
            </w:r>
            <w:r>
              <w:rPr>
                <w:rFonts w:hint="eastAsia" w:ascii="宋体" w:hAnsi="宋体" w:cs="宋体"/>
                <w:sz w:val="24"/>
              </w:rPr>
              <w:t>洁净</w:t>
            </w:r>
            <w:r>
              <w:rPr>
                <w:rFonts w:ascii="宋体" w:hAnsi="宋体" w:cs="宋体"/>
                <w:sz w:val="24"/>
              </w:rPr>
              <w:t>区（冷库门前便于操作的位置）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4783B2A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、自动控制制冷系统的运行，设置于控制箱内。</w:t>
            </w:r>
          </w:p>
          <w:p w14:paraId="581DC28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ascii="宋体" w:hAnsi="宋体" w:cs="宋体"/>
                <w:sz w:val="24"/>
              </w:rPr>
              <w:t>冷库配电进线</w:t>
            </w:r>
            <w:r>
              <w:rPr>
                <w:rFonts w:hint="eastAsia" w:ascii="宋体" w:hAnsi="宋体" w:cs="宋体"/>
                <w:sz w:val="24"/>
              </w:rPr>
              <w:t>由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乙</w:t>
            </w:r>
            <w:r>
              <w:rPr>
                <w:rFonts w:ascii="宋体" w:hAnsi="宋体" w:cs="宋体"/>
                <w:sz w:val="24"/>
              </w:rPr>
              <w:t>方提供</w:t>
            </w:r>
            <w:r>
              <w:rPr>
                <w:rFonts w:hint="eastAsia" w:ascii="宋体" w:hAnsi="宋体" w:cs="宋体"/>
                <w:sz w:val="24"/>
              </w:rPr>
              <w:t>至</w:t>
            </w:r>
            <w:r>
              <w:rPr>
                <w:rFonts w:ascii="宋体" w:hAnsi="宋体" w:cs="宋体"/>
                <w:sz w:val="24"/>
              </w:rPr>
              <w:t>第一个</w:t>
            </w:r>
            <w:r>
              <w:rPr>
                <w:rFonts w:hint="eastAsia" w:ascii="宋体" w:hAnsi="宋体" w:cs="宋体"/>
                <w:sz w:val="24"/>
              </w:rPr>
              <w:t>进线</w:t>
            </w:r>
            <w:r>
              <w:rPr>
                <w:rFonts w:ascii="宋体" w:hAnsi="宋体" w:cs="宋体"/>
                <w:sz w:val="24"/>
              </w:rPr>
              <w:t>控制箱内，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ascii="宋体" w:hAnsi="宋体" w:cs="宋体"/>
                <w:sz w:val="24"/>
              </w:rPr>
              <w:t>配电柜及</w:t>
            </w:r>
            <w:r>
              <w:rPr>
                <w:rFonts w:hint="eastAsia" w:ascii="宋体" w:hAnsi="宋体" w:cs="宋体"/>
                <w:sz w:val="24"/>
              </w:rPr>
              <w:t>配线</w:t>
            </w:r>
            <w:r>
              <w:rPr>
                <w:rFonts w:ascii="宋体" w:hAnsi="宋体" w:cs="宋体"/>
                <w:sz w:val="24"/>
              </w:rPr>
              <w:t>由乙方负责；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（所有配电线缆均由乙方提供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 w14:paraId="5D2F27A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</w:t>
            </w:r>
            <w:r>
              <w:rPr>
                <w:rFonts w:hint="eastAsia" w:hAnsi="宋体"/>
                <w:sz w:val="24"/>
              </w:rPr>
              <w:t>设备配电从冷库</w:t>
            </w:r>
            <w:r>
              <w:rPr>
                <w:rFonts w:hAnsi="宋体"/>
                <w:sz w:val="24"/>
              </w:rPr>
              <w:t>设备控制箱</w:t>
            </w:r>
            <w:r>
              <w:rPr>
                <w:rFonts w:hint="eastAsia"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配线至末端</w:t>
            </w:r>
            <w:r>
              <w:rPr>
                <w:rFonts w:hint="eastAsia" w:hAnsi="宋体"/>
                <w:sz w:val="24"/>
              </w:rPr>
              <w:t>（含</w:t>
            </w:r>
            <w:r>
              <w:rPr>
                <w:rFonts w:hAnsi="宋体"/>
                <w:sz w:val="24"/>
              </w:rPr>
              <w:t>控制箱进</w:t>
            </w:r>
            <w:r>
              <w:rPr>
                <w:rFonts w:hint="eastAsia" w:hAnsi="宋体"/>
                <w:sz w:val="24"/>
              </w:rPr>
              <w:t>线）；普通照明、插座及</w:t>
            </w:r>
            <w:r>
              <w:rPr>
                <w:rFonts w:hAnsi="宋体"/>
                <w:sz w:val="24"/>
              </w:rPr>
              <w:t>应急照明配电</w:t>
            </w:r>
            <w:r>
              <w:rPr>
                <w:rFonts w:hint="eastAsia" w:hAnsi="宋体"/>
                <w:sz w:val="24"/>
              </w:rPr>
              <w:t>从冷库照明配电</w:t>
            </w:r>
            <w:r>
              <w:rPr>
                <w:rFonts w:hAnsi="宋体"/>
                <w:sz w:val="24"/>
              </w:rPr>
              <w:t>箱</w:t>
            </w:r>
            <w:r>
              <w:rPr>
                <w:rFonts w:hint="eastAsia"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配线至末端</w:t>
            </w:r>
            <w:r>
              <w:rPr>
                <w:rFonts w:hint="eastAsia" w:hAnsi="宋体"/>
                <w:sz w:val="24"/>
              </w:rPr>
              <w:t>（含配电</w:t>
            </w:r>
            <w:r>
              <w:rPr>
                <w:rFonts w:hAnsi="宋体"/>
                <w:sz w:val="24"/>
              </w:rPr>
              <w:t>箱进</w:t>
            </w:r>
            <w:r>
              <w:rPr>
                <w:rFonts w:hint="eastAsia" w:hAnsi="宋体"/>
                <w:sz w:val="24"/>
              </w:rPr>
              <w:t>线）；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138E36D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Arial" w:hAnsi="Arial" w:cs="Arial"/>
                <w:sz w:val="24"/>
              </w:rPr>
              <w:t>须采用正规生产厂家的产品，且产品至少具备C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C</w:t>
            </w:r>
            <w:r>
              <w:rPr>
                <w:rFonts w:hint="eastAsia" w:ascii="Arial" w:hAnsi="Arial" w:cs="Arial"/>
                <w:sz w:val="24"/>
              </w:rPr>
              <w:t>C认证。</w:t>
            </w:r>
          </w:p>
        </w:tc>
        <w:tc>
          <w:tcPr>
            <w:tcW w:w="1538" w:type="dxa"/>
            <w:vAlign w:val="center"/>
          </w:tcPr>
          <w:p w14:paraId="23E969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386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0B37E93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6916" w:type="dxa"/>
            <w:vAlign w:val="center"/>
          </w:tcPr>
          <w:p w14:paraId="2F49957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温度控制：数字显示温度控制器，可根据需要设定温度值及幅差；温度的采集、储存另连接冷冻机房空调系统上位机（甲方负责）。</w:t>
            </w:r>
          </w:p>
          <w:p w14:paraId="4A1D28E4">
            <w:pPr>
              <w:pStyle w:val="53"/>
              <w:numPr>
                <w:ilvl w:val="0"/>
                <w:numId w:val="7"/>
              </w:numPr>
              <w:spacing w:line="360" w:lineRule="auto"/>
              <w:ind w:left="0"/>
              <w:rPr>
                <w:rFonts w:hAnsi="宋体"/>
                <w:color w:val="auto"/>
                <w:kern w:val="2"/>
              </w:rPr>
            </w:pPr>
            <w:r>
              <w:rPr>
                <w:rFonts w:hint="eastAsia" w:hAnsi="宋体"/>
                <w:color w:val="auto"/>
                <w:kern w:val="2"/>
              </w:rPr>
              <w:t>远程报警方式为手机APP/小程序报警或短信报警。</w:t>
            </w:r>
          </w:p>
          <w:p w14:paraId="0437DBD2">
            <w:pPr>
              <w:pStyle w:val="53"/>
              <w:numPr>
                <w:ilvl w:val="0"/>
                <w:numId w:val="7"/>
              </w:numPr>
              <w:spacing w:line="360" w:lineRule="auto"/>
              <w:ind w:left="0"/>
              <w:rPr>
                <w:rFonts w:hAnsi="宋体"/>
                <w:color w:val="auto"/>
                <w:kern w:val="2"/>
              </w:rPr>
            </w:pPr>
            <w:r>
              <w:rPr>
                <w:rFonts w:hint="eastAsia" w:hAnsi="宋体"/>
                <w:color w:val="auto"/>
                <w:kern w:val="2"/>
              </w:rPr>
              <w:t>可设置至少3</w:t>
            </w:r>
            <w:r>
              <w:rPr>
                <w:rFonts w:hAnsi="宋体"/>
                <w:color w:val="auto"/>
                <w:kern w:val="2"/>
              </w:rPr>
              <w:t>/6</w:t>
            </w:r>
            <w:r>
              <w:rPr>
                <w:rFonts w:hint="eastAsia" w:hAnsi="宋体"/>
                <w:color w:val="auto"/>
                <w:kern w:val="2"/>
              </w:rPr>
              <w:t>人能够接收到远程报警。</w:t>
            </w:r>
          </w:p>
          <w:p w14:paraId="6E779D80">
            <w:pPr>
              <w:pStyle w:val="53"/>
              <w:numPr>
                <w:ilvl w:val="0"/>
                <w:numId w:val="7"/>
              </w:numPr>
              <w:spacing w:line="360" w:lineRule="auto"/>
              <w:ind w:left="0"/>
              <w:rPr>
                <w:color w:val="auto"/>
              </w:rPr>
            </w:pPr>
            <w:r>
              <w:rPr>
                <w:rFonts w:hint="eastAsia" w:hAnsi="宋体"/>
                <w:color w:val="auto"/>
                <w:kern w:val="2"/>
              </w:rPr>
              <w:t>PLC控制系统需为知名品牌。操作显示屏为中文显示，显示和设定温度参数。控制设定精度≤0</w:t>
            </w:r>
            <w:r>
              <w:rPr>
                <w:rFonts w:hAnsi="宋体"/>
                <w:color w:val="auto"/>
                <w:kern w:val="2"/>
              </w:rPr>
              <w:t>.</w:t>
            </w:r>
            <w:r>
              <w:rPr>
                <w:rFonts w:hint="eastAsia" w:hAnsi="宋体"/>
                <w:color w:val="auto"/>
                <w:kern w:val="2"/>
              </w:rPr>
              <w:t>1℃。</w:t>
            </w:r>
          </w:p>
        </w:tc>
        <w:tc>
          <w:tcPr>
            <w:tcW w:w="1538" w:type="dxa"/>
            <w:vAlign w:val="center"/>
          </w:tcPr>
          <w:p w14:paraId="6B35C9C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9E5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71758D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016</w:t>
            </w:r>
          </w:p>
        </w:tc>
        <w:tc>
          <w:tcPr>
            <w:tcW w:w="6916" w:type="dxa"/>
            <w:vAlign w:val="center"/>
          </w:tcPr>
          <w:p w14:paraId="27E5E1C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保护装置：具备制冷高低压保护，短路、过载保护，设备运行超温保护、化霜温度保护及其它必要的设备保护等。</w:t>
            </w:r>
          </w:p>
          <w:p w14:paraId="3B5DA538">
            <w:pPr>
              <w:pStyle w:val="53"/>
              <w:numPr>
                <w:ilvl w:val="0"/>
                <w:numId w:val="8"/>
              </w:numPr>
              <w:spacing w:line="360" w:lineRule="auto"/>
              <w:ind w:left="0"/>
              <w:rPr>
                <w:rFonts w:hAnsi="宋体"/>
                <w:color w:val="auto"/>
                <w:kern w:val="2"/>
              </w:rPr>
            </w:pPr>
            <w:r>
              <w:rPr>
                <w:rFonts w:hint="eastAsia" w:hAnsi="宋体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color w:val="auto"/>
                <w:kern w:val="2"/>
              </w:rPr>
              <w:t>有独立的配电系统。</w:t>
            </w:r>
          </w:p>
          <w:p w14:paraId="4F3E5FC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sz w:val="24"/>
              </w:rPr>
              <w:t>电力恢复时可自动启动运行。</w:t>
            </w:r>
          </w:p>
        </w:tc>
        <w:tc>
          <w:tcPr>
            <w:tcW w:w="1538" w:type="dxa"/>
            <w:vAlign w:val="center"/>
          </w:tcPr>
          <w:p w14:paraId="1AF70A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5C1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1EAB1D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017</w:t>
            </w:r>
          </w:p>
        </w:tc>
        <w:tc>
          <w:tcPr>
            <w:tcW w:w="6916" w:type="dxa"/>
            <w:vAlign w:val="center"/>
          </w:tcPr>
          <w:p w14:paraId="4C44411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故障报警：设备发生故障时应立即自动停机并有故障灯亮。</w:t>
            </w:r>
          </w:p>
        </w:tc>
        <w:tc>
          <w:tcPr>
            <w:tcW w:w="1538" w:type="dxa"/>
            <w:vAlign w:val="center"/>
          </w:tcPr>
          <w:p w14:paraId="115153C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F5B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0984DD1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018</w:t>
            </w:r>
          </w:p>
        </w:tc>
        <w:tc>
          <w:tcPr>
            <w:tcW w:w="6916" w:type="dxa"/>
            <w:vAlign w:val="center"/>
          </w:tcPr>
          <w:p w14:paraId="1491188C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控制系统：电器元件选用西门子</w:t>
            </w:r>
            <w:r>
              <w:rPr>
                <w:rFonts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ABB、</w:t>
            </w:r>
            <w:r>
              <w:rPr>
                <w:rFonts w:ascii="宋体" w:hAnsi="宋体" w:cs="宋体"/>
                <w:sz w:val="24"/>
              </w:rPr>
              <w:t>施耐德</w:t>
            </w:r>
            <w:r>
              <w:rPr>
                <w:rFonts w:hint="eastAsia" w:ascii="宋体" w:hAnsi="宋体" w:cs="宋体"/>
                <w:sz w:val="24"/>
              </w:rPr>
              <w:t>等品牌。</w:t>
            </w:r>
          </w:p>
          <w:p w14:paraId="4DCAE21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2、质量标准：符合国标、行业标准或企业标准。</w:t>
            </w:r>
          </w:p>
        </w:tc>
        <w:tc>
          <w:tcPr>
            <w:tcW w:w="1538" w:type="dxa"/>
            <w:vAlign w:val="center"/>
          </w:tcPr>
          <w:p w14:paraId="3F21A44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19B21F4E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6" w:name="_Toc101533880"/>
      <w:bookmarkStart w:id="17" w:name="_Toc6919"/>
      <w:r>
        <w:rPr>
          <w:rFonts w:hint="eastAsia" w:hAnsi="宋体"/>
          <w:b/>
          <w:bCs/>
          <w:sz w:val="24"/>
        </w:rPr>
        <w:t>6.5冷库照明、排水安装的要求</w:t>
      </w:r>
      <w:bookmarkEnd w:id="16"/>
      <w:bookmarkEnd w:id="17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705C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6AEE27F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0D46E6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7D74E47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64D3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E045831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019</w:t>
            </w:r>
          </w:p>
        </w:tc>
        <w:tc>
          <w:tcPr>
            <w:tcW w:w="6916" w:type="dxa"/>
            <w:vAlign w:val="center"/>
          </w:tcPr>
          <w:p w14:paraId="7E034CD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照明：冷库内采用低压、防潮照明灯具（220V），照度应满足使用要求。库房内按面积配备应急照明灯。详细配置应在设计确认阶段与业主确认。</w:t>
            </w:r>
          </w:p>
        </w:tc>
        <w:tc>
          <w:tcPr>
            <w:tcW w:w="1538" w:type="dxa"/>
            <w:vAlign w:val="center"/>
          </w:tcPr>
          <w:p w14:paraId="015F348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A16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B5085A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020</w:t>
            </w:r>
          </w:p>
        </w:tc>
        <w:tc>
          <w:tcPr>
            <w:tcW w:w="6916" w:type="dxa"/>
          </w:tcPr>
          <w:p w14:paraId="6631E597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排水：蒸发器（室内冷风机）库内化霜排水应就近接往室外，并配置U型水封。</w:t>
            </w:r>
          </w:p>
          <w:p w14:paraId="5D4ABC2F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1、融霜排水管采</w:t>
            </w:r>
            <w:r>
              <w:rPr>
                <w:rFonts w:hint="eastAsia" w:ascii="Arial" w:hAnsi="Arial" w:cs="Arial"/>
                <w:sz w:val="24"/>
              </w:rPr>
              <w:t>用不锈钢或铜质</w:t>
            </w:r>
            <w:r>
              <w:rPr>
                <w:rFonts w:ascii="Arial" w:hAnsi="Arial" w:cs="Arial"/>
                <w:sz w:val="24"/>
              </w:rPr>
              <w:t>排水管与设备管径相配；</w:t>
            </w:r>
          </w:p>
          <w:p w14:paraId="452828D0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2、排水管库内部分应有加热丝（低温库内排水管超过1米应加装化霜加热丝）及包保温管，并延伸至库外排水管道。</w:t>
            </w:r>
          </w:p>
          <w:p w14:paraId="6E392924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3、排水管设置横平竖直并保留一定排水坡度（45°），根据现场条件最短距离安装。</w:t>
            </w:r>
          </w:p>
          <w:p w14:paraId="49EC160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4、洁净区排水管道需保温后采用不锈钢皮包裹，尽量减少卫生死角。</w:t>
            </w:r>
          </w:p>
        </w:tc>
        <w:tc>
          <w:tcPr>
            <w:tcW w:w="1538" w:type="dxa"/>
            <w:vAlign w:val="center"/>
          </w:tcPr>
          <w:p w14:paraId="244E585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340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522E84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021</w:t>
            </w:r>
          </w:p>
        </w:tc>
        <w:tc>
          <w:tcPr>
            <w:tcW w:w="6916" w:type="dxa"/>
          </w:tcPr>
          <w:p w14:paraId="74490FB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质量标准：应符合国家及行业标准</w:t>
            </w:r>
          </w:p>
        </w:tc>
        <w:tc>
          <w:tcPr>
            <w:tcW w:w="1538" w:type="dxa"/>
            <w:vAlign w:val="center"/>
          </w:tcPr>
          <w:p w14:paraId="7FBFCB3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745ED681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8" w:name="_Toc101533881"/>
      <w:bookmarkStart w:id="19" w:name="_Toc7428"/>
      <w:r>
        <w:rPr>
          <w:rFonts w:hint="eastAsia" w:hAnsi="宋体"/>
          <w:b/>
          <w:bCs/>
          <w:sz w:val="24"/>
        </w:rPr>
        <w:t>6.6库板、库门等配置要求</w:t>
      </w:r>
      <w:bookmarkEnd w:id="18"/>
      <w:bookmarkEnd w:id="19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3EEF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pct20" w:color="auto" w:fill="FFFFFF"/>
            <w:vAlign w:val="center"/>
          </w:tcPr>
          <w:p w14:paraId="65D3110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916" w:type="dxa"/>
            <w:shd w:val="pct20" w:color="auto" w:fill="FFFFFF"/>
            <w:vAlign w:val="center"/>
          </w:tcPr>
          <w:p w14:paraId="3456F5F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要求</w:t>
            </w:r>
          </w:p>
        </w:tc>
        <w:tc>
          <w:tcPr>
            <w:tcW w:w="1538" w:type="dxa"/>
            <w:shd w:val="pct20" w:color="auto" w:fill="FFFFFF"/>
            <w:vAlign w:val="center"/>
          </w:tcPr>
          <w:p w14:paraId="715E857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必需或期望</w:t>
            </w:r>
          </w:p>
        </w:tc>
      </w:tr>
      <w:tr w14:paraId="2BAA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8DC2EAC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022</w:t>
            </w:r>
          </w:p>
        </w:tc>
        <w:tc>
          <w:tcPr>
            <w:tcW w:w="6916" w:type="dxa"/>
            <w:vAlign w:val="center"/>
          </w:tcPr>
          <w:p w14:paraId="150816F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冷冻库采用150mm厚、缓冲间采用100mm</w:t>
            </w:r>
            <w:r>
              <w:rPr>
                <w:rFonts w:hint="eastAsia" w:ascii="Arial" w:hAnsi="Arial" w:cs="Arial"/>
                <w:sz w:val="24"/>
              </w:rPr>
              <w:t>和常温控制间采用</w:t>
            </w:r>
            <w:r>
              <w:rPr>
                <w:rFonts w:ascii="Arial" w:hAnsi="Arial" w:cs="Arial"/>
                <w:sz w:val="24"/>
              </w:rPr>
              <w:t>50mm厚聚氨酯阻燃型，防火等级B1级，并提供相应材料防火报告，库内采用不锈钢，钢板厚度为0.6mm。</w:t>
            </w:r>
          </w:p>
        </w:tc>
        <w:tc>
          <w:tcPr>
            <w:tcW w:w="1538" w:type="dxa"/>
            <w:vAlign w:val="center"/>
          </w:tcPr>
          <w:p w14:paraId="662278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B3B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CF49C14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023</w:t>
            </w:r>
          </w:p>
        </w:tc>
        <w:tc>
          <w:tcPr>
            <w:tcW w:w="6916" w:type="dxa"/>
          </w:tcPr>
          <w:p w14:paraId="464FD7E3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库外采用</w:t>
            </w:r>
            <w:r>
              <w:rPr>
                <w:rFonts w:hint="eastAsia" w:ascii="Arial" w:hAnsi="Arial" w:cs="Arial"/>
                <w:sz w:val="24"/>
              </w:rPr>
              <w:t>彩钢板，</w:t>
            </w:r>
            <w:r>
              <w:rPr>
                <w:rFonts w:ascii="Arial" w:hAnsi="Arial" w:cs="Arial"/>
                <w:sz w:val="24"/>
              </w:rPr>
              <w:t>采用亚光、无毒、无异味、耐腐蚀材料，钢板厚度为0.6mm。</w:t>
            </w:r>
          </w:p>
        </w:tc>
        <w:tc>
          <w:tcPr>
            <w:tcW w:w="1538" w:type="dxa"/>
            <w:vAlign w:val="center"/>
          </w:tcPr>
          <w:p w14:paraId="5F8C68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51CC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30" w:type="dxa"/>
            <w:vAlign w:val="center"/>
          </w:tcPr>
          <w:p w14:paraId="0427EA39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024</w:t>
            </w:r>
          </w:p>
        </w:tc>
        <w:tc>
          <w:tcPr>
            <w:tcW w:w="6916" w:type="dxa"/>
          </w:tcPr>
          <w:p w14:paraId="6221AFAE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库板的物理及机械性能指标：</w:t>
            </w:r>
          </w:p>
          <w:p w14:paraId="2BDAEF49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导热系数</w:t>
            </w:r>
            <w:r>
              <w:rPr>
                <w:rFonts w:hint="eastAsia" w:ascii="宋体" w:hAnsi="宋体" w:cs="宋体"/>
                <w:sz w:val="24"/>
              </w:rPr>
              <w:t>λ＜0.026kcal/m.h.℃</w:t>
            </w:r>
          </w:p>
          <w:p w14:paraId="729DA152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密度：0.04~0.05g/cm3</w:t>
            </w:r>
          </w:p>
          <w:p w14:paraId="0D67247A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抗压强度：＞2kg/m2(</w:t>
            </w:r>
            <w:r>
              <w:rPr>
                <w:rFonts w:hint="eastAsia"/>
                <w:sz w:val="24"/>
              </w:rPr>
              <w:t>墙板、顶板)</w:t>
            </w:r>
          </w:p>
          <w:p w14:paraId="468E2332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吸水率＜0.2kg/m2</w:t>
            </w:r>
          </w:p>
          <w:p w14:paraId="383076A1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自熄性＜5S</w:t>
            </w:r>
          </w:p>
          <w:p w14:paraId="6DFE5112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尺寸稳定性＜±0.5%</w:t>
            </w:r>
          </w:p>
        </w:tc>
        <w:tc>
          <w:tcPr>
            <w:tcW w:w="1538" w:type="dxa"/>
            <w:vAlign w:val="center"/>
          </w:tcPr>
          <w:p w14:paraId="2DC89B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7CED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9459188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025</w:t>
            </w:r>
          </w:p>
        </w:tc>
        <w:tc>
          <w:tcPr>
            <w:tcW w:w="6916" w:type="dxa"/>
          </w:tcPr>
          <w:p w14:paraId="1680954E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库板的尺寸、形状制造允许误差：</w:t>
            </w:r>
          </w:p>
          <w:p w14:paraId="4FBEE895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长度尺寸偏差值</w:t>
            </w:r>
            <w:r>
              <w:rPr>
                <w:rFonts w:hint="eastAsia" w:ascii="宋体" w:hAnsi="宋体" w:cs="宋体"/>
                <w:sz w:val="24"/>
              </w:rPr>
              <w:t>＜±2mm</w:t>
            </w:r>
          </w:p>
          <w:p w14:paraId="07F3E1AA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宽度尺寸偏差值</w:t>
            </w:r>
            <w:r>
              <w:rPr>
                <w:rFonts w:hint="eastAsia" w:ascii="宋体" w:hAnsi="宋体" w:cs="宋体"/>
                <w:sz w:val="24"/>
              </w:rPr>
              <w:t>＜±1mm</w:t>
            </w:r>
          </w:p>
          <w:p w14:paraId="4F8D205E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对角线尺寸</w:t>
            </w:r>
            <w:r>
              <w:rPr>
                <w:rFonts w:hint="eastAsia"/>
                <w:sz w:val="24"/>
              </w:rPr>
              <w:t>偏差值</w:t>
            </w:r>
            <w:r>
              <w:rPr>
                <w:rFonts w:hint="eastAsia" w:ascii="宋体" w:hAnsi="宋体" w:cs="宋体"/>
                <w:sz w:val="24"/>
              </w:rPr>
              <w:t>＜±3mm</w:t>
            </w:r>
          </w:p>
          <w:p w14:paraId="03C3FF01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厚度尺寸偏差值</w:t>
            </w:r>
            <w:r>
              <w:rPr>
                <w:rFonts w:hint="eastAsia" w:ascii="宋体" w:hAnsi="宋体" w:cs="宋体"/>
                <w:sz w:val="24"/>
              </w:rPr>
              <w:t>＜1%</w:t>
            </w:r>
          </w:p>
          <w:p w14:paraId="6FDE5700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平面度（任意方向）偏差值</w:t>
            </w:r>
            <w:r>
              <w:rPr>
                <w:rFonts w:hint="eastAsia" w:ascii="宋体" w:hAnsi="宋体" w:cs="宋体"/>
                <w:sz w:val="24"/>
              </w:rPr>
              <w:t>＜2%</w:t>
            </w:r>
          </w:p>
        </w:tc>
        <w:tc>
          <w:tcPr>
            <w:tcW w:w="1538" w:type="dxa"/>
            <w:vAlign w:val="center"/>
          </w:tcPr>
          <w:p w14:paraId="0D4B7D0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7CB2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F562C26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026</w:t>
            </w:r>
          </w:p>
        </w:tc>
        <w:tc>
          <w:tcPr>
            <w:tcW w:w="6916" w:type="dxa"/>
          </w:tcPr>
          <w:p w14:paraId="6F4D9F90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提供库板的出厂质量证明书及</w:t>
            </w:r>
            <w:r>
              <w:rPr>
                <w:rFonts w:hint="eastAsia"/>
                <w:sz w:val="24"/>
              </w:rPr>
              <w:t>聚氨酯板的防火检测报告，B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级。</w:t>
            </w:r>
          </w:p>
        </w:tc>
        <w:tc>
          <w:tcPr>
            <w:tcW w:w="1538" w:type="dxa"/>
            <w:vAlign w:val="center"/>
          </w:tcPr>
          <w:p w14:paraId="5D8F8C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E1A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24C964A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027</w:t>
            </w:r>
          </w:p>
        </w:tc>
        <w:tc>
          <w:tcPr>
            <w:tcW w:w="6916" w:type="dxa"/>
          </w:tcPr>
          <w:p w14:paraId="040D19D5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安装结合面不允许有外露的隔热材料，结缝采用玻璃胶密封。</w:t>
            </w:r>
          </w:p>
        </w:tc>
        <w:tc>
          <w:tcPr>
            <w:tcW w:w="1538" w:type="dxa"/>
            <w:vAlign w:val="center"/>
          </w:tcPr>
          <w:p w14:paraId="111BD75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7BF9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4FA2F23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028</w:t>
            </w:r>
          </w:p>
        </w:tc>
        <w:tc>
          <w:tcPr>
            <w:tcW w:w="6916" w:type="dxa"/>
          </w:tcPr>
          <w:p w14:paraId="116AA994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库板平面应平整光滑，不应有翘角、凹凸不平的缺陷。</w:t>
            </w:r>
          </w:p>
        </w:tc>
        <w:tc>
          <w:tcPr>
            <w:tcW w:w="1538" w:type="dxa"/>
            <w:vAlign w:val="center"/>
          </w:tcPr>
          <w:p w14:paraId="1E7FC5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7A7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9B19FF1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029</w:t>
            </w:r>
          </w:p>
        </w:tc>
        <w:tc>
          <w:tcPr>
            <w:tcW w:w="6916" w:type="dxa"/>
          </w:tcPr>
          <w:p w14:paraId="379FA020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在提高隔热板强度时，不允许降低隔热系数效果或出现冷桥。</w:t>
            </w:r>
          </w:p>
        </w:tc>
        <w:tc>
          <w:tcPr>
            <w:tcW w:w="1538" w:type="dxa"/>
            <w:vAlign w:val="center"/>
          </w:tcPr>
          <w:p w14:paraId="4B13A7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512E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2009FF3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030</w:t>
            </w:r>
          </w:p>
        </w:tc>
        <w:tc>
          <w:tcPr>
            <w:tcW w:w="6916" w:type="dxa"/>
          </w:tcPr>
          <w:p w14:paraId="455C72B8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与库板相连的吊装材料，应选用导热系数小的材料。</w:t>
            </w:r>
          </w:p>
        </w:tc>
        <w:tc>
          <w:tcPr>
            <w:tcW w:w="1538" w:type="dxa"/>
            <w:vAlign w:val="center"/>
          </w:tcPr>
          <w:p w14:paraId="002CBE0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5F5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1752E16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031</w:t>
            </w:r>
          </w:p>
        </w:tc>
        <w:tc>
          <w:tcPr>
            <w:tcW w:w="6916" w:type="dxa"/>
          </w:tcPr>
          <w:p w14:paraId="0E81046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库板的密封材料应在+40~-3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℃保持良好的密封性能。</w:t>
            </w:r>
          </w:p>
          <w:p w14:paraId="57423C3C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冷库应设计稳压窗，防止使用过程库板变形。</w:t>
            </w:r>
          </w:p>
        </w:tc>
        <w:tc>
          <w:tcPr>
            <w:tcW w:w="1538" w:type="dxa"/>
            <w:vAlign w:val="center"/>
          </w:tcPr>
          <w:p w14:paraId="243D06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D43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DB136FB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032</w:t>
            </w:r>
          </w:p>
        </w:tc>
        <w:tc>
          <w:tcPr>
            <w:tcW w:w="6916" w:type="dxa"/>
          </w:tcPr>
          <w:p w14:paraId="40F397C3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1、冷库门采用双面不锈钢，框与板材质一致；规格尺寸按平面图配置；</w:t>
            </w:r>
          </w:p>
          <w:p w14:paraId="67EA8681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冷库</w:t>
            </w:r>
            <w:r>
              <w:rPr>
                <w:rFonts w:hint="eastAsia" w:ascii="宋体" w:hAnsi="宋体"/>
                <w:sz w:val="24"/>
              </w:rPr>
              <w:t>门安装耐-35℃</w:t>
            </w:r>
            <w:r>
              <w:rPr>
                <w:rFonts w:ascii="宋体" w:hAnsi="宋体"/>
                <w:sz w:val="24"/>
              </w:rPr>
              <w:t>低温软帘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安装</w:t>
            </w:r>
            <w:r>
              <w:rPr>
                <w:rFonts w:hint="eastAsia" w:ascii="宋体" w:hAnsi="宋体"/>
                <w:sz w:val="24"/>
              </w:rPr>
              <w:t>于冷库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>侧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防止热气进入库房。</w:t>
            </w:r>
          </w:p>
          <w:p w14:paraId="65A92055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、有温差通道、旧血浆冷库门安装耐-35℃</w:t>
            </w:r>
            <w:r>
              <w:rPr>
                <w:rFonts w:ascii="宋体" w:hAnsi="宋体"/>
                <w:sz w:val="24"/>
              </w:rPr>
              <w:t>低温软帘隔断</w:t>
            </w:r>
            <w:r>
              <w:rPr>
                <w:rFonts w:hint="eastAsia" w:ascii="宋体" w:hAnsi="宋体"/>
                <w:sz w:val="24"/>
              </w:rPr>
              <w:t>及风幕机；</w:t>
            </w:r>
          </w:p>
          <w:p w14:paraId="3306F6E9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4、</w:t>
            </w:r>
            <w:r>
              <w:rPr>
                <w:rFonts w:hint="eastAsia" w:ascii="Arial" w:hAnsi="Arial" w:cs="Arial"/>
                <w:sz w:val="24"/>
              </w:rPr>
              <w:t>冷缓冲</w:t>
            </w:r>
            <w:r>
              <w:rPr>
                <w:rFonts w:ascii="Arial" w:hAnsi="Arial" w:cs="Arial"/>
                <w:sz w:val="24"/>
              </w:rPr>
              <w:t>操作区大门外需安装</w:t>
            </w:r>
            <w:r>
              <w:rPr>
                <w:rFonts w:hint="eastAsia" w:ascii="Arial" w:hAnsi="Arial" w:cs="Arial"/>
                <w:sz w:val="24"/>
              </w:rPr>
              <w:t>海绵</w:t>
            </w:r>
            <w:r>
              <w:rPr>
                <w:rFonts w:ascii="Arial" w:hAnsi="Arial" w:cs="Arial"/>
                <w:sz w:val="24"/>
              </w:rPr>
              <w:t>门封，已确保室内冷气不外泄。</w:t>
            </w:r>
          </w:p>
        </w:tc>
        <w:tc>
          <w:tcPr>
            <w:tcW w:w="1538" w:type="dxa"/>
            <w:vAlign w:val="center"/>
          </w:tcPr>
          <w:p w14:paraId="566654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38C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898E7EA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033</w:t>
            </w:r>
          </w:p>
        </w:tc>
        <w:tc>
          <w:tcPr>
            <w:tcW w:w="6916" w:type="dxa"/>
          </w:tcPr>
          <w:p w14:paraId="3B32CEDB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冷库门内设有脱险逃生报警装置，当工作人员误锁在库内时，有及时打开门锁装置。</w:t>
            </w:r>
          </w:p>
        </w:tc>
        <w:tc>
          <w:tcPr>
            <w:tcW w:w="1538" w:type="dxa"/>
            <w:vAlign w:val="center"/>
          </w:tcPr>
          <w:p w14:paraId="711E33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2CE7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51D5165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034</w:t>
            </w:r>
          </w:p>
        </w:tc>
        <w:tc>
          <w:tcPr>
            <w:tcW w:w="6916" w:type="dxa"/>
          </w:tcPr>
          <w:p w14:paraId="29D915E9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所有管线穿过隔热板的孔洞，均需做防潮密封和隔热保温处理，并使表面光滑。</w:t>
            </w:r>
          </w:p>
        </w:tc>
        <w:tc>
          <w:tcPr>
            <w:tcW w:w="1538" w:type="dxa"/>
            <w:vAlign w:val="center"/>
          </w:tcPr>
          <w:p w14:paraId="104CEB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7F05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66C1C0E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035</w:t>
            </w:r>
          </w:p>
        </w:tc>
        <w:tc>
          <w:tcPr>
            <w:tcW w:w="6916" w:type="dxa"/>
          </w:tcPr>
          <w:p w14:paraId="663ABEEA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1、冷库地板安装前需对地面进行防水处理。冷库地面应平整、防滑。</w:t>
            </w:r>
          </w:p>
          <w:p w14:paraId="1FCFCE9C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、</w:t>
            </w:r>
            <w:r>
              <w:rPr>
                <w:rFonts w:hint="eastAsia" w:ascii="Arial" w:hAnsi="Arial" w:cs="Arial"/>
                <w:sz w:val="24"/>
              </w:rPr>
              <w:t>冷冻库冻库</w:t>
            </w:r>
            <w:r>
              <w:rPr>
                <w:rFonts w:ascii="Arial" w:hAnsi="Arial" w:cs="Arial"/>
                <w:sz w:val="24"/>
              </w:rPr>
              <w:t>地面做法：150mm双面不锈钢聚氨酯库板+5mm304</w:t>
            </w:r>
            <w:r>
              <w:rPr>
                <w:rFonts w:hint="eastAsia" w:ascii="Arial" w:hAnsi="Arial" w:cs="Arial"/>
                <w:sz w:val="24"/>
              </w:rPr>
              <w:t>不锈钢板</w:t>
            </w:r>
            <w:r>
              <w:rPr>
                <w:rFonts w:ascii="Arial" w:hAnsi="Arial" w:cs="Arial"/>
                <w:sz w:val="24"/>
              </w:rPr>
              <w:t>板制作；</w:t>
            </w:r>
          </w:p>
          <w:p w14:paraId="271F790D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、2~8℃缓冲间地面做法：100mm双面不锈钢聚氨酯库板+5mm不锈钢花纹板制作；</w:t>
            </w:r>
          </w:p>
          <w:p w14:paraId="0405BEC1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4、常温走廊</w:t>
            </w:r>
            <w:r>
              <w:rPr>
                <w:rFonts w:ascii="Arial" w:hAnsi="Arial" w:cs="Arial"/>
                <w:sz w:val="24"/>
              </w:rPr>
              <w:t>地面做法：</w:t>
            </w:r>
            <w:r>
              <w:rPr>
                <w:rFonts w:hint="eastAsia" w:ascii="宋体" w:hAnsi="宋体"/>
                <w:sz w:val="24"/>
                <w:szCs w:val="24"/>
              </w:rPr>
              <w:t>地面铺贴防滑地板砖（地面整体抬高10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mm）</w:t>
            </w:r>
            <w:r>
              <w:rPr>
                <w:rFonts w:ascii="Arial" w:hAnsi="Arial" w:cs="Arial"/>
                <w:sz w:val="24"/>
              </w:rPr>
              <w:t>；</w:t>
            </w:r>
          </w:p>
        </w:tc>
        <w:tc>
          <w:tcPr>
            <w:tcW w:w="1538" w:type="dxa"/>
            <w:vAlign w:val="center"/>
          </w:tcPr>
          <w:p w14:paraId="36CD063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</w:tbl>
    <w:p w14:paraId="745BB950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0" w:name="_Toc101533882"/>
      <w:r>
        <w:rPr>
          <w:rFonts w:hint="eastAsia" w:hAnsi="宋体"/>
          <w:b/>
          <w:bCs/>
          <w:sz w:val="24"/>
        </w:rPr>
        <w:t>6.7安装督导及调试</w:t>
      </w:r>
      <w:bookmarkEnd w:id="20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6D13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5CFA63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0C6E7A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6CC201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165F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B4E9DF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036</w:t>
            </w:r>
          </w:p>
        </w:tc>
        <w:tc>
          <w:tcPr>
            <w:tcW w:w="6916" w:type="dxa"/>
            <w:vAlign w:val="center"/>
          </w:tcPr>
          <w:p w14:paraId="6F8B7F9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供需双方按进度计划要求共同开箱清点验收，安装箱单确定货物完整无缺，规格数量相符，产品质量符合相关的国家产品技术标准及制造工艺标准，清点结果要共同签署书面的备忘录，如发现异议，中标人应即时采取有效的补救措施。 </w:t>
            </w:r>
          </w:p>
        </w:tc>
        <w:tc>
          <w:tcPr>
            <w:tcW w:w="1538" w:type="dxa"/>
            <w:vAlign w:val="center"/>
          </w:tcPr>
          <w:p w14:paraId="664FAC6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43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53D2BCB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037</w:t>
            </w:r>
          </w:p>
        </w:tc>
        <w:tc>
          <w:tcPr>
            <w:tcW w:w="6916" w:type="dxa"/>
            <w:vAlign w:val="center"/>
          </w:tcPr>
          <w:p w14:paraId="1E6DA6C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投标单位应负责本用户需求书的全部设备的安装督导工作，负责设备的调试及试运行督导，并对设备质量保证期内的设备质量负责。</w:t>
            </w:r>
          </w:p>
        </w:tc>
        <w:tc>
          <w:tcPr>
            <w:tcW w:w="1538" w:type="dxa"/>
            <w:vAlign w:val="center"/>
          </w:tcPr>
          <w:p w14:paraId="6C8BA19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E1D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D08883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038</w:t>
            </w:r>
          </w:p>
        </w:tc>
        <w:tc>
          <w:tcPr>
            <w:tcW w:w="6916" w:type="dxa"/>
            <w:vAlign w:val="center"/>
          </w:tcPr>
          <w:p w14:paraId="0D041FB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装、调试必须按照有关技术要求、国家标准和行业规范进行。投标单位派出的安装督导人员应具备相关的专业知识及技术水平，熟悉本设备的规格、技术指标及安装工艺，有足够能力督导本用户需求书的全部设备的安装，确保其通过设备的验收。</w:t>
            </w:r>
          </w:p>
        </w:tc>
        <w:tc>
          <w:tcPr>
            <w:tcW w:w="1538" w:type="dxa"/>
            <w:vAlign w:val="center"/>
          </w:tcPr>
          <w:p w14:paraId="13CD756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6BB06FBD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1" w:name="_Toc19219"/>
      <w:bookmarkStart w:id="22" w:name="_Toc101533883"/>
      <w:r>
        <w:rPr>
          <w:rFonts w:hint="eastAsia" w:hAnsi="宋体"/>
          <w:b/>
          <w:bCs/>
          <w:sz w:val="24"/>
        </w:rPr>
        <w:t>6.8质量保证和售后服务</w:t>
      </w:r>
      <w:bookmarkEnd w:id="21"/>
      <w:bookmarkEnd w:id="22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18FF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7A4463B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5F170C7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030CD9B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5B6E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E65677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039</w:t>
            </w:r>
          </w:p>
        </w:tc>
        <w:tc>
          <w:tcPr>
            <w:tcW w:w="6916" w:type="dxa"/>
          </w:tcPr>
          <w:p w14:paraId="54DA8B9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投标单位应保证其提供的货物是全新的，未使用过的，采用最新设计和合适材料制造的，并在各个方面符合合同规定的质量、规格和性能。</w:t>
            </w:r>
          </w:p>
        </w:tc>
        <w:tc>
          <w:tcPr>
            <w:tcW w:w="1538" w:type="dxa"/>
            <w:vAlign w:val="center"/>
          </w:tcPr>
          <w:p w14:paraId="6B21B1B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A8B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2798DF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040</w:t>
            </w:r>
          </w:p>
        </w:tc>
        <w:tc>
          <w:tcPr>
            <w:tcW w:w="6916" w:type="dxa"/>
            <w:vAlign w:val="center"/>
          </w:tcPr>
          <w:p w14:paraId="2D683CC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供应商必须按图施工，施工图经双方确认。</w:t>
            </w:r>
          </w:p>
          <w:p w14:paraId="3BE9651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投标单位在项目安装阶段（包括原材料和元器件、部件的采购，产品的加工、装配、检测、调试等），必须有一套科学而规范的标准程序和措施，确保项目质量满足系统的要求。</w:t>
            </w:r>
          </w:p>
        </w:tc>
        <w:tc>
          <w:tcPr>
            <w:tcW w:w="1538" w:type="dxa"/>
            <w:vAlign w:val="center"/>
          </w:tcPr>
          <w:p w14:paraId="06688BB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796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3EA7579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041</w:t>
            </w:r>
          </w:p>
        </w:tc>
        <w:tc>
          <w:tcPr>
            <w:tcW w:w="6916" w:type="dxa"/>
            <w:vAlign w:val="center"/>
          </w:tcPr>
          <w:p w14:paraId="6D09E3F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投标单位必须保证所供货物与合同规定的质量、规格和性能相一致。</w:t>
            </w:r>
          </w:p>
          <w:p w14:paraId="0B47713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投标单位应提供冷库的一系列验证和确认方案，包括DQ\IQ\OQ</w:t>
            </w:r>
            <w:r>
              <w:rPr>
                <w:rFonts w:ascii="宋体" w:hAnsi="宋体" w:cs="宋体"/>
                <w:sz w:val="24"/>
              </w:rPr>
              <w:t>\PQ</w:t>
            </w:r>
            <w:r>
              <w:rPr>
                <w:rFonts w:hint="eastAsia" w:ascii="宋体" w:hAnsi="宋体" w:cs="宋体"/>
                <w:sz w:val="24"/>
              </w:rPr>
              <w:t>文件方案起草。确认活动实施与确认报告起草等，确认项目包括但不限于库体及设备安装确认；温度传感器校准；化霜确认；温度均匀性确认等（空载）。</w:t>
            </w:r>
          </w:p>
          <w:p w14:paraId="5D88739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配合甲方做好冷库一系列的验证工作。</w:t>
            </w:r>
          </w:p>
        </w:tc>
        <w:tc>
          <w:tcPr>
            <w:tcW w:w="1538" w:type="dxa"/>
            <w:vAlign w:val="center"/>
          </w:tcPr>
          <w:p w14:paraId="0E3930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4CA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709D03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042</w:t>
            </w:r>
          </w:p>
        </w:tc>
        <w:tc>
          <w:tcPr>
            <w:tcW w:w="6916" w:type="dxa"/>
            <w:vAlign w:val="center"/>
          </w:tcPr>
          <w:p w14:paraId="5E22EB7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制冷机组和冷风机整机质保期</w:t>
            </w:r>
            <w:r>
              <w:rPr>
                <w:rFonts w:hint="eastAsia" w:ascii="宋体" w:hAnsi="宋体" w:cs="宋体"/>
                <w:sz w:val="24"/>
              </w:rPr>
              <w:t>3年或以上，其他货物质保期2年或以上。质保期内，供应商免费提供设备正常使用下的维修及保养服务，定期派工程师到现场巡查。</w:t>
            </w:r>
          </w:p>
        </w:tc>
        <w:tc>
          <w:tcPr>
            <w:tcW w:w="1538" w:type="dxa"/>
            <w:vAlign w:val="center"/>
          </w:tcPr>
          <w:p w14:paraId="0CE454B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BCE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C5FB45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043</w:t>
            </w:r>
          </w:p>
        </w:tc>
        <w:tc>
          <w:tcPr>
            <w:tcW w:w="6916" w:type="dxa"/>
            <w:vAlign w:val="center"/>
          </w:tcPr>
          <w:p w14:paraId="7EFCA47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质保期内，因使用方对设备使用、管理不当所造成的损坏，由使用方承担，供应商应及时提供有偿服务。</w:t>
            </w:r>
          </w:p>
        </w:tc>
        <w:tc>
          <w:tcPr>
            <w:tcW w:w="1538" w:type="dxa"/>
            <w:vAlign w:val="center"/>
          </w:tcPr>
          <w:p w14:paraId="5FE321BA">
            <w:pPr>
              <w:pStyle w:val="42"/>
              <w:spacing w:before="0" w:line="360" w:lineRule="auto"/>
              <w:jc w:val="center"/>
              <w:rPr>
                <w:rFonts w:cs="宋体"/>
                <w:szCs w:val="24"/>
                <w:lang w:val="en-GB" w:eastAsia="zh-CN"/>
              </w:rPr>
            </w:pPr>
            <w:r>
              <w:rPr>
                <w:rFonts w:hint="eastAsia" w:cs="宋体"/>
                <w:szCs w:val="24"/>
                <w:lang w:val="en-GB" w:eastAsia="zh-CN"/>
              </w:rPr>
              <w:t>必需</w:t>
            </w:r>
          </w:p>
        </w:tc>
      </w:tr>
    </w:tbl>
    <w:p w14:paraId="39C98BEF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3" w:name="_Toc101533884"/>
      <w:bookmarkStart w:id="24" w:name="_Toc22916"/>
      <w:r>
        <w:rPr>
          <w:rFonts w:hint="eastAsia" w:hAnsi="宋体"/>
          <w:b/>
          <w:bCs/>
          <w:sz w:val="24"/>
        </w:rPr>
        <w:t>6.9文件/图纸要求</w:t>
      </w:r>
      <w:bookmarkEnd w:id="23"/>
      <w:bookmarkEnd w:id="24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08A3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6BBE83E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1162181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5D6EC42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7F0A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4B716F3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044</w:t>
            </w:r>
          </w:p>
        </w:tc>
        <w:tc>
          <w:tcPr>
            <w:tcW w:w="6916" w:type="dxa"/>
            <w:vAlign w:val="center"/>
          </w:tcPr>
          <w:p w14:paraId="2557C4F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所有文件清单</w:t>
            </w:r>
          </w:p>
        </w:tc>
        <w:tc>
          <w:tcPr>
            <w:tcW w:w="1538" w:type="dxa"/>
            <w:vAlign w:val="center"/>
          </w:tcPr>
          <w:p w14:paraId="71C726C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634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CFFE167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045</w:t>
            </w:r>
          </w:p>
        </w:tc>
        <w:tc>
          <w:tcPr>
            <w:tcW w:w="6916" w:type="dxa"/>
            <w:vAlign w:val="center"/>
          </w:tcPr>
          <w:p w14:paraId="454AF4A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元件和仪器清单</w:t>
            </w:r>
          </w:p>
        </w:tc>
        <w:tc>
          <w:tcPr>
            <w:tcW w:w="1538" w:type="dxa"/>
            <w:vAlign w:val="center"/>
          </w:tcPr>
          <w:p w14:paraId="6920543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976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8AFF19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046</w:t>
            </w:r>
          </w:p>
        </w:tc>
        <w:tc>
          <w:tcPr>
            <w:tcW w:w="6916" w:type="dxa"/>
            <w:vAlign w:val="center"/>
          </w:tcPr>
          <w:p w14:paraId="753A28A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阀门及配件技术参数表</w:t>
            </w:r>
          </w:p>
        </w:tc>
        <w:tc>
          <w:tcPr>
            <w:tcW w:w="1538" w:type="dxa"/>
            <w:vAlign w:val="center"/>
          </w:tcPr>
          <w:p w14:paraId="316CB5E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DE6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F50D22B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047</w:t>
            </w:r>
          </w:p>
        </w:tc>
        <w:tc>
          <w:tcPr>
            <w:tcW w:w="6916" w:type="dxa"/>
            <w:vAlign w:val="center"/>
          </w:tcPr>
          <w:p w14:paraId="13621DE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仪表技术参数表</w:t>
            </w:r>
          </w:p>
        </w:tc>
        <w:tc>
          <w:tcPr>
            <w:tcW w:w="1538" w:type="dxa"/>
            <w:vAlign w:val="center"/>
          </w:tcPr>
          <w:p w14:paraId="34947C5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B4C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71068B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048</w:t>
            </w:r>
          </w:p>
        </w:tc>
        <w:tc>
          <w:tcPr>
            <w:tcW w:w="6916" w:type="dxa"/>
            <w:vAlign w:val="center"/>
          </w:tcPr>
          <w:p w14:paraId="7E88E7D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管道及管件规格表</w:t>
            </w:r>
          </w:p>
        </w:tc>
        <w:tc>
          <w:tcPr>
            <w:tcW w:w="1538" w:type="dxa"/>
            <w:vAlign w:val="center"/>
          </w:tcPr>
          <w:p w14:paraId="00D7960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25D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8F62C1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6916" w:type="dxa"/>
            <w:vAlign w:val="center"/>
          </w:tcPr>
          <w:p w14:paraId="7230BF6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设备布局图、施工图、工艺流程图等</w:t>
            </w:r>
          </w:p>
        </w:tc>
        <w:tc>
          <w:tcPr>
            <w:tcW w:w="1538" w:type="dxa"/>
            <w:vAlign w:val="center"/>
          </w:tcPr>
          <w:p w14:paraId="2129D4A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C85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FC503C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050</w:t>
            </w:r>
          </w:p>
        </w:tc>
        <w:tc>
          <w:tcPr>
            <w:tcW w:w="6916" w:type="dxa"/>
            <w:vAlign w:val="center"/>
          </w:tcPr>
          <w:p w14:paraId="5D949F4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控制系统接线图</w:t>
            </w:r>
          </w:p>
        </w:tc>
        <w:tc>
          <w:tcPr>
            <w:tcW w:w="1538" w:type="dxa"/>
            <w:vAlign w:val="center"/>
          </w:tcPr>
          <w:p w14:paraId="1AEEEC0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41A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1E23F7E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051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0D5CB7C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设备附带文件资料</w:t>
            </w:r>
          </w:p>
          <w:p w14:paraId="11FA163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官方认证文献：压力容器证书、设备安全证书等；</w:t>
            </w:r>
          </w:p>
          <w:p w14:paraId="6C4400E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设备原产地证明文件；</w:t>
            </w:r>
          </w:p>
          <w:p w14:paraId="54BC4AC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所有外购件说明书2份；</w:t>
            </w:r>
          </w:p>
          <w:p w14:paraId="42AEABB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至少提供1套书面文件和1套电子版文件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39D1E5F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B21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205B028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052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7EC8BF3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提供温度传感器第二方机构校准证书，配置相关仪表必须经过有资质单位的检验。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494D901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DC5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4066E53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053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6538956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分供应商提供的仪表合格证书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316B5C4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152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23B2949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054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2C1FEFD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采购项目的进度及质量计划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5A283A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1521EF00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5" w:name="_Toc101533885"/>
      <w:bookmarkStart w:id="26" w:name="_Toc1603"/>
      <w:r>
        <w:rPr>
          <w:rFonts w:hint="eastAsia" w:hAnsi="宋体"/>
          <w:b/>
          <w:bCs/>
          <w:sz w:val="24"/>
        </w:rPr>
        <w:t>6.10约束条件</w:t>
      </w:r>
      <w:bookmarkEnd w:id="25"/>
      <w:bookmarkEnd w:id="26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42DB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63EE927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705F96A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08428EA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5363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54687A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055</w:t>
            </w:r>
          </w:p>
        </w:tc>
        <w:tc>
          <w:tcPr>
            <w:tcW w:w="6916" w:type="dxa"/>
            <w:vAlign w:val="center"/>
          </w:tcPr>
          <w:p w14:paraId="6F41D71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投标单位在报价中需要将所有需要提供的辅助设施列举清楚，若有列举不明之项目，发生费用则全部由供应商自行承担。</w:t>
            </w:r>
          </w:p>
        </w:tc>
        <w:tc>
          <w:tcPr>
            <w:tcW w:w="1538" w:type="dxa"/>
            <w:vAlign w:val="center"/>
          </w:tcPr>
          <w:p w14:paraId="34FF61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EE7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A4EDD90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056</w:t>
            </w:r>
          </w:p>
        </w:tc>
        <w:tc>
          <w:tcPr>
            <w:tcW w:w="6916" w:type="dxa"/>
            <w:vAlign w:val="center"/>
          </w:tcPr>
          <w:p w14:paraId="06AC629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采购项目的安装、检查、调试、等活动由供应商负责，必须严格按照本URS要求和相关的标准与规范来进行。</w:t>
            </w:r>
          </w:p>
        </w:tc>
        <w:tc>
          <w:tcPr>
            <w:tcW w:w="1538" w:type="dxa"/>
            <w:vAlign w:val="center"/>
          </w:tcPr>
          <w:p w14:paraId="08AF22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</w:t>
            </w:r>
          </w:p>
        </w:tc>
      </w:tr>
      <w:tr w14:paraId="5B61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7B84E8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057</w:t>
            </w:r>
          </w:p>
        </w:tc>
        <w:tc>
          <w:tcPr>
            <w:tcW w:w="6916" w:type="dxa"/>
            <w:vAlign w:val="center"/>
          </w:tcPr>
          <w:p w14:paraId="167083E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按相关的标准和规范以及本URS对采购项目进行安装，并能满足所有功能描述和操作条件。</w:t>
            </w:r>
          </w:p>
        </w:tc>
        <w:tc>
          <w:tcPr>
            <w:tcW w:w="1538" w:type="dxa"/>
            <w:vAlign w:val="center"/>
          </w:tcPr>
          <w:p w14:paraId="0DDE1B7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91E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476C6E1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058</w:t>
            </w:r>
          </w:p>
        </w:tc>
        <w:tc>
          <w:tcPr>
            <w:tcW w:w="6916" w:type="dxa"/>
            <w:vAlign w:val="center"/>
          </w:tcPr>
          <w:p w14:paraId="6988977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投标单位对于本URS要求的任何偏离都要在投标文件中明确地说明，并作为选项报价。如果投标文件中没有有关的偏离的说明，在使用方看来，这就意味着投标文件完全满足本采购要求及相关附件。</w:t>
            </w:r>
          </w:p>
        </w:tc>
        <w:tc>
          <w:tcPr>
            <w:tcW w:w="1538" w:type="dxa"/>
            <w:vAlign w:val="center"/>
          </w:tcPr>
          <w:p w14:paraId="432D766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027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808EEB8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059</w:t>
            </w:r>
          </w:p>
        </w:tc>
        <w:tc>
          <w:tcPr>
            <w:tcW w:w="6916" w:type="dxa"/>
            <w:vAlign w:val="center"/>
          </w:tcPr>
          <w:p w14:paraId="32E1FAF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供应商认为为了符合相关认证及相关规范、标准要求必须补充的内容及文件。</w:t>
            </w:r>
          </w:p>
        </w:tc>
        <w:tc>
          <w:tcPr>
            <w:tcW w:w="1538" w:type="dxa"/>
            <w:vAlign w:val="center"/>
          </w:tcPr>
          <w:p w14:paraId="07C971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AEF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0F860A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060</w:t>
            </w:r>
          </w:p>
        </w:tc>
        <w:tc>
          <w:tcPr>
            <w:tcW w:w="6916" w:type="dxa"/>
            <w:vAlign w:val="center"/>
          </w:tcPr>
          <w:p w14:paraId="7FFE210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使用方配合的内容:</w:t>
            </w:r>
          </w:p>
          <w:p w14:paraId="71263DD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在合同履行过程中，使用方将提供必要的配合，根据合同有关要求完成其应履行的义务。 </w:t>
            </w:r>
          </w:p>
          <w:p w14:paraId="034E197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为配合本采购项目进度所进行的各阶段工作，供应商应列明需使用方配合的工作内容（包括交货、货物存放、安装配合、调试、验收等）和具体要求。</w:t>
            </w:r>
          </w:p>
        </w:tc>
        <w:tc>
          <w:tcPr>
            <w:tcW w:w="1538" w:type="dxa"/>
            <w:vAlign w:val="center"/>
          </w:tcPr>
          <w:p w14:paraId="1FFE0C7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90F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444CEC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061</w:t>
            </w:r>
          </w:p>
        </w:tc>
        <w:tc>
          <w:tcPr>
            <w:tcW w:w="6916" w:type="dxa"/>
            <w:vAlign w:val="center"/>
          </w:tcPr>
          <w:p w14:paraId="2DA0111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1、项目工期为20天，含主要设备、材料供货及安装调试；</w:t>
            </w:r>
          </w:p>
          <w:p w14:paraId="323C140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、冷库施工逐个库分段施工，待第一个库验证投用后方能改第二库，依次类推；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483F259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2DA9C3F9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6.11品牌</w:t>
      </w:r>
      <w:r>
        <w:rPr>
          <w:rFonts w:hAnsi="宋体"/>
          <w:b/>
          <w:bCs/>
          <w:sz w:val="24"/>
        </w:rPr>
        <w:t>要求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40"/>
        <w:gridCol w:w="3540"/>
        <w:gridCol w:w="1572"/>
      </w:tblGrid>
      <w:tr w14:paraId="1C88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  <w:vAlign w:val="center"/>
          </w:tcPr>
          <w:p w14:paraId="53B4E951">
            <w:pPr>
              <w:tabs>
                <w:tab w:val="left" w:pos="562"/>
              </w:tabs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序号</w:t>
            </w:r>
          </w:p>
        </w:tc>
        <w:tc>
          <w:tcPr>
            <w:tcW w:w="1786" w:type="pct"/>
            <w:vAlign w:val="center"/>
          </w:tcPr>
          <w:p w14:paraId="554C8E8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关键配件</w:t>
            </w:r>
          </w:p>
        </w:tc>
        <w:tc>
          <w:tcPr>
            <w:tcW w:w="1786" w:type="pct"/>
            <w:vAlign w:val="center"/>
          </w:tcPr>
          <w:p w14:paraId="571DAE38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品牌</w:t>
            </w:r>
          </w:p>
        </w:tc>
        <w:tc>
          <w:tcPr>
            <w:tcW w:w="793" w:type="pct"/>
            <w:vAlign w:val="center"/>
          </w:tcPr>
          <w:p w14:paraId="77E24019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1F2F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  <w:vAlign w:val="center"/>
          </w:tcPr>
          <w:p w14:paraId="0D55A3D4">
            <w:pPr>
              <w:tabs>
                <w:tab w:val="left" w:pos="562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URS062</w:t>
            </w:r>
          </w:p>
        </w:tc>
        <w:tc>
          <w:tcPr>
            <w:tcW w:w="1786" w:type="pct"/>
            <w:vAlign w:val="center"/>
          </w:tcPr>
          <w:p w14:paraId="543F5CF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制冷机组</w:t>
            </w:r>
          </w:p>
        </w:tc>
        <w:tc>
          <w:tcPr>
            <w:tcW w:w="1786" w:type="pct"/>
          </w:tcPr>
          <w:p w14:paraId="039C082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日立、三菱</w:t>
            </w:r>
            <w:bookmarkStart w:id="27" w:name="_GoBack"/>
            <w:bookmarkEnd w:id="27"/>
          </w:p>
        </w:tc>
        <w:tc>
          <w:tcPr>
            <w:tcW w:w="793" w:type="pct"/>
            <w:vAlign w:val="center"/>
          </w:tcPr>
          <w:p w14:paraId="64428CFE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286C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1E5645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URS063</w:t>
            </w:r>
          </w:p>
        </w:tc>
        <w:tc>
          <w:tcPr>
            <w:tcW w:w="1786" w:type="pct"/>
            <w:vAlign w:val="center"/>
          </w:tcPr>
          <w:p w14:paraId="26E998E2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蒸发器</w:t>
            </w:r>
          </w:p>
        </w:tc>
        <w:tc>
          <w:tcPr>
            <w:tcW w:w="1786" w:type="pct"/>
          </w:tcPr>
          <w:p w14:paraId="7B1D9DB2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路韦、昆腾、卡贝欧</w:t>
            </w:r>
          </w:p>
        </w:tc>
        <w:tc>
          <w:tcPr>
            <w:tcW w:w="793" w:type="pct"/>
            <w:vAlign w:val="center"/>
          </w:tcPr>
          <w:p w14:paraId="213C0140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3F31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1A7590E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URS064</w:t>
            </w:r>
          </w:p>
        </w:tc>
        <w:tc>
          <w:tcPr>
            <w:tcW w:w="1786" w:type="pct"/>
            <w:vAlign w:val="center"/>
          </w:tcPr>
          <w:p w14:paraId="0666BB8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库板</w:t>
            </w:r>
          </w:p>
        </w:tc>
        <w:tc>
          <w:tcPr>
            <w:tcW w:w="1786" w:type="pct"/>
          </w:tcPr>
          <w:p w14:paraId="290A8C3A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酷冷、弗洛森、金雅得</w:t>
            </w:r>
          </w:p>
        </w:tc>
        <w:tc>
          <w:tcPr>
            <w:tcW w:w="793" w:type="pct"/>
            <w:vAlign w:val="center"/>
          </w:tcPr>
          <w:p w14:paraId="58F1532E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634D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376349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URS065</w:t>
            </w:r>
          </w:p>
        </w:tc>
        <w:tc>
          <w:tcPr>
            <w:tcW w:w="1786" w:type="pct"/>
            <w:vAlign w:val="center"/>
          </w:tcPr>
          <w:p w14:paraId="00D79CD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地面保温板</w:t>
            </w:r>
          </w:p>
        </w:tc>
        <w:tc>
          <w:tcPr>
            <w:tcW w:w="1786" w:type="pct"/>
          </w:tcPr>
          <w:p w14:paraId="2D8CF74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酷冷、弗洛森、金雅得</w:t>
            </w:r>
          </w:p>
        </w:tc>
        <w:tc>
          <w:tcPr>
            <w:tcW w:w="793" w:type="pct"/>
            <w:vAlign w:val="center"/>
          </w:tcPr>
          <w:p w14:paraId="44181388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5034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675E172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URS066</w:t>
            </w:r>
          </w:p>
        </w:tc>
        <w:tc>
          <w:tcPr>
            <w:tcW w:w="1786" w:type="pct"/>
            <w:vAlign w:val="center"/>
          </w:tcPr>
          <w:p w14:paraId="36638E8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温度传感器</w:t>
            </w:r>
          </w:p>
        </w:tc>
        <w:tc>
          <w:tcPr>
            <w:tcW w:w="1786" w:type="pct"/>
            <w:vAlign w:val="center"/>
          </w:tcPr>
          <w:p w14:paraId="321A50E3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E+E、E+H</w:t>
            </w:r>
          </w:p>
        </w:tc>
        <w:tc>
          <w:tcPr>
            <w:tcW w:w="793" w:type="pct"/>
            <w:vAlign w:val="center"/>
          </w:tcPr>
          <w:p w14:paraId="669EEA25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4783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34879C7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URS067</w:t>
            </w:r>
          </w:p>
        </w:tc>
        <w:tc>
          <w:tcPr>
            <w:tcW w:w="1786" w:type="pct"/>
            <w:vAlign w:val="center"/>
          </w:tcPr>
          <w:p w14:paraId="5C53BB4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膨胀阀</w:t>
            </w:r>
          </w:p>
        </w:tc>
        <w:tc>
          <w:tcPr>
            <w:tcW w:w="1786" w:type="pct"/>
            <w:vAlign w:val="center"/>
          </w:tcPr>
          <w:p w14:paraId="686C2821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丹佛斯、卡乐、艾默生</w:t>
            </w:r>
          </w:p>
        </w:tc>
        <w:tc>
          <w:tcPr>
            <w:tcW w:w="793" w:type="pct"/>
            <w:vAlign w:val="center"/>
          </w:tcPr>
          <w:p w14:paraId="496E9A57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5AB2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4A00752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URS068</w:t>
            </w:r>
          </w:p>
        </w:tc>
        <w:tc>
          <w:tcPr>
            <w:tcW w:w="1786" w:type="pct"/>
            <w:vAlign w:val="center"/>
          </w:tcPr>
          <w:p w14:paraId="6203BDD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制冷干燥器</w:t>
            </w:r>
          </w:p>
        </w:tc>
        <w:tc>
          <w:tcPr>
            <w:tcW w:w="1786" w:type="pct"/>
            <w:vAlign w:val="center"/>
          </w:tcPr>
          <w:p w14:paraId="11D021C3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丹佛斯、艾默生</w:t>
            </w:r>
          </w:p>
        </w:tc>
        <w:tc>
          <w:tcPr>
            <w:tcW w:w="793" w:type="pct"/>
            <w:vAlign w:val="center"/>
          </w:tcPr>
          <w:p w14:paraId="43BA94F4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3F27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14D6A79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URS069</w:t>
            </w:r>
          </w:p>
        </w:tc>
        <w:tc>
          <w:tcPr>
            <w:tcW w:w="1786" w:type="pct"/>
            <w:vAlign w:val="center"/>
          </w:tcPr>
          <w:p w14:paraId="55846E2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环保制冷剂</w:t>
            </w:r>
          </w:p>
        </w:tc>
        <w:tc>
          <w:tcPr>
            <w:tcW w:w="1786" w:type="pct"/>
            <w:vAlign w:val="center"/>
          </w:tcPr>
          <w:p w14:paraId="2CAFF6FF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霍尼韦尔、巨化、杜邦</w:t>
            </w:r>
          </w:p>
        </w:tc>
        <w:tc>
          <w:tcPr>
            <w:tcW w:w="793" w:type="pct"/>
            <w:vAlign w:val="center"/>
          </w:tcPr>
          <w:p w14:paraId="2F64F62F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1876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440319C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URS070</w:t>
            </w:r>
          </w:p>
        </w:tc>
        <w:tc>
          <w:tcPr>
            <w:tcW w:w="1786" w:type="pct"/>
            <w:vAlign w:val="center"/>
          </w:tcPr>
          <w:p w14:paraId="642041F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PLC </w:t>
            </w:r>
          </w:p>
        </w:tc>
        <w:tc>
          <w:tcPr>
            <w:tcW w:w="1786" w:type="pct"/>
            <w:vAlign w:val="center"/>
          </w:tcPr>
          <w:p w14:paraId="6A51553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西门子、施耐德、三菱</w:t>
            </w:r>
          </w:p>
        </w:tc>
        <w:tc>
          <w:tcPr>
            <w:tcW w:w="793" w:type="pct"/>
            <w:vAlign w:val="center"/>
          </w:tcPr>
          <w:p w14:paraId="2FE7A2B8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117C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25B6C58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URS071</w:t>
            </w:r>
          </w:p>
        </w:tc>
        <w:tc>
          <w:tcPr>
            <w:tcW w:w="1786" w:type="pct"/>
            <w:vAlign w:val="center"/>
          </w:tcPr>
          <w:p w14:paraId="220669DA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触摸屏</w:t>
            </w:r>
          </w:p>
        </w:tc>
        <w:tc>
          <w:tcPr>
            <w:tcW w:w="1786" w:type="pct"/>
            <w:vAlign w:val="center"/>
          </w:tcPr>
          <w:p w14:paraId="2015A57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西门子、</w:t>
            </w:r>
            <w:r>
              <w:rPr>
                <w:rFonts w:hint="eastAsia" w:ascii="Arial" w:hAnsi="Arial" w:cs="Arial"/>
                <w:sz w:val="24"/>
              </w:rPr>
              <w:t>昆仑通态</w:t>
            </w:r>
            <w:r>
              <w:rPr>
                <w:rFonts w:ascii="Arial" w:hAnsi="Arial" w:cs="Arial"/>
                <w:sz w:val="24"/>
              </w:rPr>
              <w:t>、三菱</w:t>
            </w:r>
          </w:p>
        </w:tc>
        <w:tc>
          <w:tcPr>
            <w:tcW w:w="793" w:type="pct"/>
            <w:vAlign w:val="center"/>
          </w:tcPr>
          <w:p w14:paraId="0748384E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6393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61A2F6C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URS072</w:t>
            </w:r>
          </w:p>
        </w:tc>
        <w:tc>
          <w:tcPr>
            <w:tcW w:w="1786" w:type="pct"/>
            <w:vAlign w:val="center"/>
          </w:tcPr>
          <w:p w14:paraId="4410F57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控制仪表</w:t>
            </w:r>
          </w:p>
        </w:tc>
        <w:tc>
          <w:tcPr>
            <w:tcW w:w="1786" w:type="pct"/>
            <w:vAlign w:val="center"/>
          </w:tcPr>
          <w:p w14:paraId="4E924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EVCO、艾默生、丹佛斯</w:t>
            </w:r>
          </w:p>
        </w:tc>
        <w:tc>
          <w:tcPr>
            <w:tcW w:w="793" w:type="pct"/>
            <w:vAlign w:val="center"/>
          </w:tcPr>
          <w:p w14:paraId="40DD9EBF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  <w:tr w14:paraId="18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4B0B7D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URS073</w:t>
            </w:r>
          </w:p>
        </w:tc>
        <w:tc>
          <w:tcPr>
            <w:tcW w:w="1786" w:type="pct"/>
            <w:vAlign w:val="center"/>
          </w:tcPr>
          <w:p w14:paraId="260FFE1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防水卷材</w:t>
            </w:r>
          </w:p>
        </w:tc>
        <w:tc>
          <w:tcPr>
            <w:tcW w:w="1786" w:type="pct"/>
            <w:vAlign w:val="center"/>
          </w:tcPr>
          <w:p w14:paraId="218126AD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东方雨虹、德高</w:t>
            </w:r>
          </w:p>
        </w:tc>
        <w:tc>
          <w:tcPr>
            <w:tcW w:w="793" w:type="pct"/>
            <w:vAlign w:val="center"/>
          </w:tcPr>
          <w:p w14:paraId="7308633B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必需</w:t>
            </w:r>
          </w:p>
        </w:tc>
      </w:tr>
    </w:tbl>
    <w:p w14:paraId="7B1CA964">
      <w:pPr>
        <w:autoSpaceDE w:val="0"/>
        <w:autoSpaceDN w:val="0"/>
        <w:spacing w:line="360" w:lineRule="auto"/>
        <w:rPr>
          <w:rFonts w:ascii="Arial" w:hAnsi="Arial"/>
          <w:sz w:val="24"/>
        </w:rPr>
      </w:pPr>
    </w:p>
    <w:sectPr>
      <w:headerReference r:id="rId5" w:type="default"/>
      <w:pgSz w:w="11906" w:h="16838"/>
      <w:pgMar w:top="1361" w:right="851" w:bottom="1418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1"/>
      <w:tblW w:w="966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22"/>
      <w:gridCol w:w="4115"/>
      <w:gridCol w:w="2096"/>
      <w:gridCol w:w="1436"/>
    </w:tblGrid>
    <w:tr w14:paraId="31D6DBB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9669" w:type="dxa"/>
          <w:gridSpan w:val="4"/>
          <w:tcMar>
            <w:left w:w="0" w:type="dxa"/>
            <w:right w:w="0" w:type="dxa"/>
          </w:tcMar>
          <w:vAlign w:val="center"/>
        </w:tcPr>
        <w:p w14:paraId="691336BF">
          <w:pPr>
            <w:rPr>
              <w:rFonts w:ascii="宋体" w:hAnsi="宋体"/>
              <w:b/>
              <w:color w:val="000000"/>
              <w:sz w:val="24"/>
            </w:rPr>
          </w:pPr>
          <w:r>
            <w:rPr>
              <w:rFonts w:hint="eastAsia" w:ascii="宋体" w:hAnsi="宋体"/>
              <w:b/>
              <w:color w:val="000000"/>
              <w:sz w:val="24"/>
            </w:rPr>
            <w:t>田阳光明单采血浆有限公司</w:t>
          </w:r>
        </w:p>
      </w:tc>
    </w:tr>
    <w:tr w14:paraId="0906BDA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29" w:hRule="atLeast"/>
        <w:jc w:val="center"/>
      </w:trPr>
      <w:tc>
        <w:tcPr>
          <w:tcW w:w="2022" w:type="dxa"/>
          <w:vMerge w:val="restart"/>
          <w:tcMar>
            <w:left w:w="0" w:type="dxa"/>
            <w:right w:w="0" w:type="dxa"/>
          </w:tcMar>
          <w:vAlign w:val="center"/>
        </w:tcPr>
        <w:p w14:paraId="27A70585">
          <w:pPr>
            <w:tabs>
              <w:tab w:val="left" w:pos="3153"/>
            </w:tabs>
            <w:ind w:right="34"/>
            <w:jc w:val="center"/>
            <w:rPr>
              <w:szCs w:val="21"/>
            </w:rPr>
          </w:pPr>
          <w:r>
            <w:rPr>
              <w:szCs w:val="21"/>
            </w:rPr>
            <w:drawing>
              <wp:inline distT="0" distB="0" distL="114300" distR="114300">
                <wp:extent cx="954405" cy="905510"/>
                <wp:effectExtent l="0" t="0" r="17145" b="8890"/>
                <wp:docPr id="1" name="图片 1" descr="微信图片_201811051108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微信图片_20181105110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405" cy="905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dxa"/>
          <w:vMerge w:val="restart"/>
          <w:vAlign w:val="center"/>
        </w:tcPr>
        <w:p w14:paraId="333D97AF">
          <w:pPr>
            <w:tabs>
              <w:tab w:val="left" w:pos="3153"/>
            </w:tabs>
            <w:ind w:right="34"/>
            <w:jc w:val="center"/>
            <w:rPr>
              <w:sz w:val="24"/>
            </w:rPr>
          </w:pPr>
          <w:r>
            <w:rPr>
              <w:rFonts w:hint="eastAsia" w:ascii="Arial" w:hAnsi="Arial"/>
              <w:sz w:val="24"/>
            </w:rPr>
            <w:t>田阳卫光采浆公司血浆冷冻库改造用户需求书</w:t>
          </w:r>
        </w:p>
      </w:tc>
      <w:tc>
        <w:tcPr>
          <w:tcW w:w="2096" w:type="dxa"/>
          <w:vAlign w:val="center"/>
        </w:tcPr>
        <w:p w14:paraId="52065286">
          <w:pPr>
            <w:rPr>
              <w:sz w:val="18"/>
              <w:szCs w:val="18"/>
            </w:rPr>
          </w:pPr>
          <w:r>
            <w:rPr>
              <w:rFonts w:hint="eastAsia" w:cs="Arial"/>
              <w:sz w:val="18"/>
              <w:szCs w:val="18"/>
            </w:rPr>
            <w:t>编号：{fileCode}</w:t>
          </w:r>
        </w:p>
      </w:tc>
      <w:tc>
        <w:tcPr>
          <w:tcW w:w="1436" w:type="dxa"/>
          <w:vAlign w:val="center"/>
        </w:tcPr>
        <w:p w14:paraId="47CF01C9">
          <w:pPr>
            <w:jc w:val="center"/>
            <w:rPr>
              <w:sz w:val="18"/>
              <w:szCs w:val="18"/>
            </w:rPr>
          </w:pPr>
          <w:r>
            <w:rPr>
              <w:rFonts w:hint="eastAsia" w:ascii="Arial"/>
              <w:sz w:val="18"/>
              <w:szCs w:val="18"/>
            </w:rPr>
            <w:t>页码：</w:t>
          </w:r>
          <w:r>
            <w:rPr>
              <w:rFonts w:ascii="Arial" w:hAnsi="Arial"/>
              <w:sz w:val="18"/>
              <w:szCs w:val="18"/>
            </w:rPr>
            <w:fldChar w:fldCharType="begin"/>
          </w:r>
          <w:r>
            <w:rPr>
              <w:rFonts w:ascii="Arial" w:hAnsi="Arial"/>
              <w:sz w:val="18"/>
              <w:szCs w:val="18"/>
            </w:rPr>
            <w:instrText xml:space="preserve"> PAGE </w:instrText>
          </w:r>
          <w:r>
            <w:rPr>
              <w:rFonts w:ascii="Arial" w:hAnsi="Arial"/>
              <w:sz w:val="18"/>
              <w:szCs w:val="18"/>
            </w:rPr>
            <w:fldChar w:fldCharType="separate"/>
          </w:r>
          <w:r>
            <w:rPr>
              <w:rFonts w:ascii="Arial" w:hAnsi="Arial"/>
              <w:sz w:val="18"/>
              <w:szCs w:val="18"/>
            </w:rPr>
            <w:t>4</w:t>
          </w:r>
          <w:r>
            <w:rPr>
              <w:rFonts w:ascii="Arial" w:hAnsi="Arial"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  <w:szCs w:val="18"/>
            </w:rPr>
            <w:t xml:space="preserve">  </w:t>
          </w:r>
          <w:r>
            <w:rPr>
              <w:rFonts w:hint="eastAsia" w:ascii="Arial" w:hAnsi="Arial"/>
              <w:sz w:val="18"/>
              <w:szCs w:val="18"/>
            </w:rPr>
            <w:t xml:space="preserve">/  </w:t>
          </w:r>
          <w:r>
            <w:rPr>
              <w:rFonts w:ascii="Arial" w:hAnsi="Arial"/>
              <w:sz w:val="18"/>
              <w:szCs w:val="18"/>
            </w:rPr>
            <w:fldChar w:fldCharType="begin"/>
          </w:r>
          <w:r>
            <w:rPr>
              <w:rFonts w:ascii="Arial" w:hAnsi="Arial"/>
              <w:sz w:val="18"/>
              <w:szCs w:val="18"/>
            </w:rPr>
            <w:instrText xml:space="preserve"> NUMPAGES </w:instrText>
          </w:r>
          <w:r>
            <w:rPr>
              <w:rFonts w:ascii="Arial" w:hAnsi="Arial"/>
              <w:sz w:val="18"/>
              <w:szCs w:val="18"/>
            </w:rPr>
            <w:fldChar w:fldCharType="separate"/>
          </w:r>
          <w:r>
            <w:rPr>
              <w:rFonts w:ascii="Arial" w:hAnsi="Arial"/>
              <w:sz w:val="18"/>
              <w:szCs w:val="18"/>
            </w:rPr>
            <w:t>21</w:t>
          </w:r>
          <w:r>
            <w:rPr>
              <w:rFonts w:ascii="Arial" w:hAnsi="Arial"/>
              <w:sz w:val="18"/>
              <w:szCs w:val="18"/>
            </w:rPr>
            <w:fldChar w:fldCharType="end"/>
          </w:r>
        </w:p>
      </w:tc>
    </w:tr>
    <w:tr w14:paraId="7511E19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24" w:hRule="atLeast"/>
        <w:jc w:val="center"/>
      </w:trPr>
      <w:tc>
        <w:tcPr>
          <w:tcW w:w="2022" w:type="dxa"/>
          <w:vMerge w:val="continue"/>
          <w:tcMar>
            <w:left w:w="0" w:type="dxa"/>
            <w:right w:w="0" w:type="dxa"/>
          </w:tcMar>
          <w:vAlign w:val="center"/>
        </w:tcPr>
        <w:p w14:paraId="3B0F5015">
          <w:pPr>
            <w:ind w:left="162"/>
            <w:jc w:val="right"/>
            <w:rPr>
              <w:sz w:val="18"/>
              <w:szCs w:val="18"/>
            </w:rPr>
          </w:pPr>
        </w:p>
      </w:tc>
      <w:tc>
        <w:tcPr>
          <w:tcW w:w="4115" w:type="dxa"/>
          <w:vMerge w:val="continue"/>
          <w:vAlign w:val="center"/>
        </w:tcPr>
        <w:p w14:paraId="04262A77">
          <w:pPr>
            <w:ind w:left="162"/>
            <w:jc w:val="right"/>
            <w:rPr>
              <w:sz w:val="18"/>
              <w:szCs w:val="18"/>
            </w:rPr>
          </w:pPr>
        </w:p>
      </w:tc>
      <w:tc>
        <w:tcPr>
          <w:tcW w:w="2096" w:type="dxa"/>
          <w:vAlign w:val="center"/>
        </w:tcPr>
        <w:p w14:paraId="2EBE3F86">
          <w:pPr>
            <w:rPr>
              <w:rFonts w:cs="Arial"/>
              <w:sz w:val="18"/>
              <w:szCs w:val="18"/>
            </w:rPr>
          </w:pPr>
          <w:r>
            <w:rPr>
              <w:rFonts w:hint="eastAsia" w:cs="Arial"/>
              <w:sz w:val="18"/>
              <w:szCs w:val="18"/>
            </w:rPr>
            <w:t>版本号</w:t>
          </w:r>
          <w:r>
            <w:rPr>
              <w:rFonts w:hint="eastAsia"/>
              <w:sz w:val="18"/>
              <w:szCs w:val="18"/>
            </w:rPr>
            <w:t>：</w:t>
          </w:r>
          <w:r>
            <w:rPr>
              <w:rFonts w:cs="Arial"/>
              <w:sz w:val="18"/>
              <w:szCs w:val="18"/>
            </w:rPr>
            <w:t>V</w:t>
          </w:r>
          <w:r>
            <w:rPr>
              <w:rFonts w:hint="eastAsia" w:cs="Arial"/>
              <w:sz w:val="18"/>
              <w:szCs w:val="18"/>
            </w:rPr>
            <w:t>{fileVersion}</w:t>
          </w:r>
        </w:p>
      </w:tc>
      <w:tc>
        <w:tcPr>
          <w:tcW w:w="1436" w:type="dxa"/>
          <w:vAlign w:val="center"/>
        </w:tcPr>
        <w:p w14:paraId="72E7C97E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未经批准</w:t>
          </w:r>
        </w:p>
        <w:p w14:paraId="08477290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严禁复印</w:t>
          </w:r>
        </w:p>
      </w:tc>
    </w:tr>
  </w:tbl>
  <w:p w14:paraId="17E6B95C">
    <w:pPr>
      <w:pStyle w:val="2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EF1698C"/>
    <w:multiLevelType w:val="multilevel"/>
    <w:tmpl w:val="0EF169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896DAB"/>
    <w:multiLevelType w:val="multilevel"/>
    <w:tmpl w:val="15896DAB"/>
    <w:lvl w:ilvl="0" w:tentative="0">
      <w:start w:val="3"/>
      <w:numFmt w:val="bullet"/>
      <w:lvlText w:val="◆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CE95790"/>
    <w:multiLevelType w:val="multilevel"/>
    <w:tmpl w:val="1CE95790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205F07D9"/>
    <w:multiLevelType w:val="multilevel"/>
    <w:tmpl w:val="205F07D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492BB2"/>
    <w:multiLevelType w:val="multilevel"/>
    <w:tmpl w:val="46492BB2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4AF71CBB"/>
    <w:multiLevelType w:val="multilevel"/>
    <w:tmpl w:val="4AF71C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DE52E5"/>
    <w:multiLevelType w:val="singleLevel"/>
    <w:tmpl w:val="57DE52E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DE55F4"/>
    <w:multiLevelType w:val="singleLevel"/>
    <w:tmpl w:val="57DE55F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04B6381"/>
    <w:multiLevelType w:val="multilevel"/>
    <w:tmpl w:val="604B63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905152"/>
    <w:multiLevelType w:val="singleLevel"/>
    <w:tmpl w:val="63905152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N2RmZTQ3ODFjNjAxMDZkMmQ5OGI3ZGE4NThkNTkifQ=="/>
  </w:docVars>
  <w:rsids>
    <w:rsidRoot w:val="00172A27"/>
    <w:rsid w:val="00002BD9"/>
    <w:rsid w:val="000121C7"/>
    <w:rsid w:val="00014FE2"/>
    <w:rsid w:val="00017289"/>
    <w:rsid w:val="000311A4"/>
    <w:rsid w:val="00042FA5"/>
    <w:rsid w:val="00050299"/>
    <w:rsid w:val="000523D3"/>
    <w:rsid w:val="00056DA3"/>
    <w:rsid w:val="00066BA6"/>
    <w:rsid w:val="0007020E"/>
    <w:rsid w:val="00073ADD"/>
    <w:rsid w:val="00082508"/>
    <w:rsid w:val="000859AE"/>
    <w:rsid w:val="00086A29"/>
    <w:rsid w:val="000930DB"/>
    <w:rsid w:val="00095080"/>
    <w:rsid w:val="00097B5C"/>
    <w:rsid w:val="00097C0A"/>
    <w:rsid w:val="00097D6F"/>
    <w:rsid w:val="000A392D"/>
    <w:rsid w:val="000A3B2A"/>
    <w:rsid w:val="000A48BE"/>
    <w:rsid w:val="000A5E12"/>
    <w:rsid w:val="000A792C"/>
    <w:rsid w:val="000C19DB"/>
    <w:rsid w:val="000C1F13"/>
    <w:rsid w:val="000C2E98"/>
    <w:rsid w:val="000C562B"/>
    <w:rsid w:val="000D5658"/>
    <w:rsid w:val="000D6158"/>
    <w:rsid w:val="000E1CC7"/>
    <w:rsid w:val="000E3D40"/>
    <w:rsid w:val="000F2420"/>
    <w:rsid w:val="0010289E"/>
    <w:rsid w:val="00105326"/>
    <w:rsid w:val="00106C24"/>
    <w:rsid w:val="0011098E"/>
    <w:rsid w:val="00113CBB"/>
    <w:rsid w:val="00114674"/>
    <w:rsid w:val="00121691"/>
    <w:rsid w:val="00122B39"/>
    <w:rsid w:val="001262EB"/>
    <w:rsid w:val="00126F84"/>
    <w:rsid w:val="001315A1"/>
    <w:rsid w:val="0013178F"/>
    <w:rsid w:val="001400F0"/>
    <w:rsid w:val="00141AD3"/>
    <w:rsid w:val="0014547A"/>
    <w:rsid w:val="00154B8D"/>
    <w:rsid w:val="00156457"/>
    <w:rsid w:val="00156571"/>
    <w:rsid w:val="0016161C"/>
    <w:rsid w:val="00162DB2"/>
    <w:rsid w:val="001641D5"/>
    <w:rsid w:val="00167495"/>
    <w:rsid w:val="0017034A"/>
    <w:rsid w:val="00170958"/>
    <w:rsid w:val="00171A41"/>
    <w:rsid w:val="00172A27"/>
    <w:rsid w:val="00177525"/>
    <w:rsid w:val="00180E74"/>
    <w:rsid w:val="00181B27"/>
    <w:rsid w:val="001846C2"/>
    <w:rsid w:val="00184883"/>
    <w:rsid w:val="001B7290"/>
    <w:rsid w:val="001D0645"/>
    <w:rsid w:val="001D0AA5"/>
    <w:rsid w:val="001D4BE9"/>
    <w:rsid w:val="001D73BC"/>
    <w:rsid w:val="001E2315"/>
    <w:rsid w:val="001F0192"/>
    <w:rsid w:val="001F2F11"/>
    <w:rsid w:val="001F3FC3"/>
    <w:rsid w:val="002017F4"/>
    <w:rsid w:val="00201ADB"/>
    <w:rsid w:val="002022D5"/>
    <w:rsid w:val="00203F99"/>
    <w:rsid w:val="002044F2"/>
    <w:rsid w:val="002173C4"/>
    <w:rsid w:val="0022430B"/>
    <w:rsid w:val="00226EBB"/>
    <w:rsid w:val="00226F26"/>
    <w:rsid w:val="00234E83"/>
    <w:rsid w:val="00242D88"/>
    <w:rsid w:val="00243C90"/>
    <w:rsid w:val="0024489F"/>
    <w:rsid w:val="002500D9"/>
    <w:rsid w:val="00255278"/>
    <w:rsid w:val="0025655E"/>
    <w:rsid w:val="00256599"/>
    <w:rsid w:val="002667EA"/>
    <w:rsid w:val="0026767F"/>
    <w:rsid w:val="00273C0D"/>
    <w:rsid w:val="00282132"/>
    <w:rsid w:val="00282564"/>
    <w:rsid w:val="002830BA"/>
    <w:rsid w:val="00284D37"/>
    <w:rsid w:val="002875E9"/>
    <w:rsid w:val="00291211"/>
    <w:rsid w:val="002922AC"/>
    <w:rsid w:val="00292BBE"/>
    <w:rsid w:val="0029557E"/>
    <w:rsid w:val="00295C22"/>
    <w:rsid w:val="00297800"/>
    <w:rsid w:val="00297936"/>
    <w:rsid w:val="002A12DC"/>
    <w:rsid w:val="002A6347"/>
    <w:rsid w:val="002A79DC"/>
    <w:rsid w:val="002A7BBB"/>
    <w:rsid w:val="002C2620"/>
    <w:rsid w:val="002C7159"/>
    <w:rsid w:val="002D3862"/>
    <w:rsid w:val="002D7C9B"/>
    <w:rsid w:val="002F0B2F"/>
    <w:rsid w:val="002F5246"/>
    <w:rsid w:val="00314588"/>
    <w:rsid w:val="00321D17"/>
    <w:rsid w:val="003422D6"/>
    <w:rsid w:val="00345094"/>
    <w:rsid w:val="00346CE8"/>
    <w:rsid w:val="00354FE6"/>
    <w:rsid w:val="00360928"/>
    <w:rsid w:val="00361DF3"/>
    <w:rsid w:val="00364EFE"/>
    <w:rsid w:val="00366A18"/>
    <w:rsid w:val="003709B4"/>
    <w:rsid w:val="00375EF9"/>
    <w:rsid w:val="0038017A"/>
    <w:rsid w:val="00390175"/>
    <w:rsid w:val="00392D70"/>
    <w:rsid w:val="00393AF6"/>
    <w:rsid w:val="003944C6"/>
    <w:rsid w:val="003A096E"/>
    <w:rsid w:val="003A64B3"/>
    <w:rsid w:val="003C0576"/>
    <w:rsid w:val="003C2DFB"/>
    <w:rsid w:val="003D385B"/>
    <w:rsid w:val="003D64CE"/>
    <w:rsid w:val="003D680B"/>
    <w:rsid w:val="003E1792"/>
    <w:rsid w:val="003E17DB"/>
    <w:rsid w:val="003F6E8C"/>
    <w:rsid w:val="003F74FF"/>
    <w:rsid w:val="004024DD"/>
    <w:rsid w:val="0041164A"/>
    <w:rsid w:val="00411B1B"/>
    <w:rsid w:val="004150DB"/>
    <w:rsid w:val="00415C95"/>
    <w:rsid w:val="00422E45"/>
    <w:rsid w:val="004240F7"/>
    <w:rsid w:val="00431BB5"/>
    <w:rsid w:val="0043558E"/>
    <w:rsid w:val="0043581B"/>
    <w:rsid w:val="0043702B"/>
    <w:rsid w:val="004377F1"/>
    <w:rsid w:val="0044159B"/>
    <w:rsid w:val="004431BC"/>
    <w:rsid w:val="004437BC"/>
    <w:rsid w:val="00445FD0"/>
    <w:rsid w:val="0045284E"/>
    <w:rsid w:val="00456537"/>
    <w:rsid w:val="00461798"/>
    <w:rsid w:val="004625DF"/>
    <w:rsid w:val="00467828"/>
    <w:rsid w:val="00473E10"/>
    <w:rsid w:val="004746C7"/>
    <w:rsid w:val="0047684C"/>
    <w:rsid w:val="00480748"/>
    <w:rsid w:val="00486380"/>
    <w:rsid w:val="00491E38"/>
    <w:rsid w:val="004A1B13"/>
    <w:rsid w:val="004A2BF2"/>
    <w:rsid w:val="004A2CF1"/>
    <w:rsid w:val="004A4508"/>
    <w:rsid w:val="004B1BD1"/>
    <w:rsid w:val="004C37BC"/>
    <w:rsid w:val="004C4C66"/>
    <w:rsid w:val="004C75B0"/>
    <w:rsid w:val="004D1535"/>
    <w:rsid w:val="004D536D"/>
    <w:rsid w:val="004D54B6"/>
    <w:rsid w:val="004D68B4"/>
    <w:rsid w:val="004D75E8"/>
    <w:rsid w:val="00500CC9"/>
    <w:rsid w:val="00506687"/>
    <w:rsid w:val="0051428E"/>
    <w:rsid w:val="00520370"/>
    <w:rsid w:val="005203E8"/>
    <w:rsid w:val="0052106C"/>
    <w:rsid w:val="00525373"/>
    <w:rsid w:val="00535D70"/>
    <w:rsid w:val="005403EE"/>
    <w:rsid w:val="00555FF9"/>
    <w:rsid w:val="00560A49"/>
    <w:rsid w:val="00560C35"/>
    <w:rsid w:val="00563769"/>
    <w:rsid w:val="00564FC2"/>
    <w:rsid w:val="00574AAC"/>
    <w:rsid w:val="00581AD4"/>
    <w:rsid w:val="00585472"/>
    <w:rsid w:val="00595693"/>
    <w:rsid w:val="005A3F59"/>
    <w:rsid w:val="005A4D59"/>
    <w:rsid w:val="005A765A"/>
    <w:rsid w:val="005B4378"/>
    <w:rsid w:val="005B54BB"/>
    <w:rsid w:val="005C31F7"/>
    <w:rsid w:val="005C63B9"/>
    <w:rsid w:val="005E5750"/>
    <w:rsid w:val="005F4FC1"/>
    <w:rsid w:val="006034A0"/>
    <w:rsid w:val="006051AE"/>
    <w:rsid w:val="006052E5"/>
    <w:rsid w:val="00605ED4"/>
    <w:rsid w:val="00606F4A"/>
    <w:rsid w:val="006210AD"/>
    <w:rsid w:val="006218A0"/>
    <w:rsid w:val="006309F4"/>
    <w:rsid w:val="0063281F"/>
    <w:rsid w:val="006376CA"/>
    <w:rsid w:val="00640D44"/>
    <w:rsid w:val="00643A41"/>
    <w:rsid w:val="00643E3C"/>
    <w:rsid w:val="00644273"/>
    <w:rsid w:val="00646EF5"/>
    <w:rsid w:val="00651A39"/>
    <w:rsid w:val="00662B16"/>
    <w:rsid w:val="00667FF3"/>
    <w:rsid w:val="00670E8D"/>
    <w:rsid w:val="00674F6B"/>
    <w:rsid w:val="00676D2A"/>
    <w:rsid w:val="006773DB"/>
    <w:rsid w:val="00677D34"/>
    <w:rsid w:val="0068424B"/>
    <w:rsid w:val="00685892"/>
    <w:rsid w:val="006911C8"/>
    <w:rsid w:val="006912FE"/>
    <w:rsid w:val="00695D14"/>
    <w:rsid w:val="00696FEE"/>
    <w:rsid w:val="006A04AF"/>
    <w:rsid w:val="006A2073"/>
    <w:rsid w:val="006B0B80"/>
    <w:rsid w:val="006B2474"/>
    <w:rsid w:val="006B38A0"/>
    <w:rsid w:val="006B6E5F"/>
    <w:rsid w:val="006B7032"/>
    <w:rsid w:val="006C5EB6"/>
    <w:rsid w:val="006D3168"/>
    <w:rsid w:val="006F05D8"/>
    <w:rsid w:val="006F2152"/>
    <w:rsid w:val="006F423D"/>
    <w:rsid w:val="006F4916"/>
    <w:rsid w:val="007135A6"/>
    <w:rsid w:val="007213D5"/>
    <w:rsid w:val="00727861"/>
    <w:rsid w:val="007349CC"/>
    <w:rsid w:val="0073621B"/>
    <w:rsid w:val="007418B0"/>
    <w:rsid w:val="0074275C"/>
    <w:rsid w:val="00746D65"/>
    <w:rsid w:val="0076100B"/>
    <w:rsid w:val="00765FAB"/>
    <w:rsid w:val="00771E2F"/>
    <w:rsid w:val="00772FB8"/>
    <w:rsid w:val="00776B63"/>
    <w:rsid w:val="0078365D"/>
    <w:rsid w:val="00783DFA"/>
    <w:rsid w:val="007853B2"/>
    <w:rsid w:val="00790AD8"/>
    <w:rsid w:val="0079273B"/>
    <w:rsid w:val="00793BE7"/>
    <w:rsid w:val="007A78F0"/>
    <w:rsid w:val="007B028A"/>
    <w:rsid w:val="007B1863"/>
    <w:rsid w:val="007B66FE"/>
    <w:rsid w:val="007C238B"/>
    <w:rsid w:val="007D23E0"/>
    <w:rsid w:val="007D4115"/>
    <w:rsid w:val="007D526C"/>
    <w:rsid w:val="007D6F68"/>
    <w:rsid w:val="007E03FF"/>
    <w:rsid w:val="007F2868"/>
    <w:rsid w:val="007F5B04"/>
    <w:rsid w:val="00802A80"/>
    <w:rsid w:val="00803840"/>
    <w:rsid w:val="00811D2B"/>
    <w:rsid w:val="00826E5D"/>
    <w:rsid w:val="00826FC1"/>
    <w:rsid w:val="008363B9"/>
    <w:rsid w:val="00836763"/>
    <w:rsid w:val="00845CE7"/>
    <w:rsid w:val="008540EB"/>
    <w:rsid w:val="00857A95"/>
    <w:rsid w:val="0086287E"/>
    <w:rsid w:val="00863DE8"/>
    <w:rsid w:val="00866950"/>
    <w:rsid w:val="00870760"/>
    <w:rsid w:val="00886666"/>
    <w:rsid w:val="00896C7F"/>
    <w:rsid w:val="008B0B94"/>
    <w:rsid w:val="008B1B50"/>
    <w:rsid w:val="008B571F"/>
    <w:rsid w:val="008C7AED"/>
    <w:rsid w:val="008D566F"/>
    <w:rsid w:val="008D74C2"/>
    <w:rsid w:val="008F3CA7"/>
    <w:rsid w:val="00901A53"/>
    <w:rsid w:val="00904C21"/>
    <w:rsid w:val="0091570C"/>
    <w:rsid w:val="0092265F"/>
    <w:rsid w:val="00924EB0"/>
    <w:rsid w:val="009277BF"/>
    <w:rsid w:val="00931A3A"/>
    <w:rsid w:val="00935367"/>
    <w:rsid w:val="00943CEA"/>
    <w:rsid w:val="00943F41"/>
    <w:rsid w:val="00945089"/>
    <w:rsid w:val="00945702"/>
    <w:rsid w:val="00952726"/>
    <w:rsid w:val="009551CC"/>
    <w:rsid w:val="0095792C"/>
    <w:rsid w:val="009609AC"/>
    <w:rsid w:val="00971CF5"/>
    <w:rsid w:val="00990707"/>
    <w:rsid w:val="00990D49"/>
    <w:rsid w:val="009944A1"/>
    <w:rsid w:val="00995F6D"/>
    <w:rsid w:val="009A3007"/>
    <w:rsid w:val="009B5085"/>
    <w:rsid w:val="009C0BB5"/>
    <w:rsid w:val="009D02FD"/>
    <w:rsid w:val="009D3033"/>
    <w:rsid w:val="009D3F80"/>
    <w:rsid w:val="009E4115"/>
    <w:rsid w:val="009E5AD9"/>
    <w:rsid w:val="009F1A56"/>
    <w:rsid w:val="00A021D5"/>
    <w:rsid w:val="00A10FD7"/>
    <w:rsid w:val="00A44369"/>
    <w:rsid w:val="00A46674"/>
    <w:rsid w:val="00A47EC8"/>
    <w:rsid w:val="00A65C1A"/>
    <w:rsid w:val="00A726D2"/>
    <w:rsid w:val="00A748D0"/>
    <w:rsid w:val="00A7769E"/>
    <w:rsid w:val="00A81AEA"/>
    <w:rsid w:val="00A87EED"/>
    <w:rsid w:val="00A907A0"/>
    <w:rsid w:val="00A90DF2"/>
    <w:rsid w:val="00A94A59"/>
    <w:rsid w:val="00A96AF1"/>
    <w:rsid w:val="00A97D4E"/>
    <w:rsid w:val="00AA7EAD"/>
    <w:rsid w:val="00AB4261"/>
    <w:rsid w:val="00AC0D37"/>
    <w:rsid w:val="00AC101D"/>
    <w:rsid w:val="00AD316C"/>
    <w:rsid w:val="00AD4EDE"/>
    <w:rsid w:val="00AE1D7F"/>
    <w:rsid w:val="00AE3568"/>
    <w:rsid w:val="00AE64B9"/>
    <w:rsid w:val="00AF2120"/>
    <w:rsid w:val="00AF483C"/>
    <w:rsid w:val="00AF51E1"/>
    <w:rsid w:val="00AF5675"/>
    <w:rsid w:val="00B02C39"/>
    <w:rsid w:val="00B0333A"/>
    <w:rsid w:val="00B10A3E"/>
    <w:rsid w:val="00B15D2C"/>
    <w:rsid w:val="00B16C7C"/>
    <w:rsid w:val="00B171FE"/>
    <w:rsid w:val="00B172BD"/>
    <w:rsid w:val="00B175B3"/>
    <w:rsid w:val="00B23324"/>
    <w:rsid w:val="00B30907"/>
    <w:rsid w:val="00B32089"/>
    <w:rsid w:val="00B35AC7"/>
    <w:rsid w:val="00B455D2"/>
    <w:rsid w:val="00B473A3"/>
    <w:rsid w:val="00B61ED5"/>
    <w:rsid w:val="00B74A81"/>
    <w:rsid w:val="00B74B8B"/>
    <w:rsid w:val="00B77214"/>
    <w:rsid w:val="00B77A83"/>
    <w:rsid w:val="00B77B6E"/>
    <w:rsid w:val="00B802AB"/>
    <w:rsid w:val="00B86E8F"/>
    <w:rsid w:val="00B92AFA"/>
    <w:rsid w:val="00BA3C14"/>
    <w:rsid w:val="00BA6060"/>
    <w:rsid w:val="00BB0294"/>
    <w:rsid w:val="00BB07E4"/>
    <w:rsid w:val="00BB09C4"/>
    <w:rsid w:val="00BB51BE"/>
    <w:rsid w:val="00BB7200"/>
    <w:rsid w:val="00BC10CD"/>
    <w:rsid w:val="00BC1BD0"/>
    <w:rsid w:val="00BC5173"/>
    <w:rsid w:val="00BC5363"/>
    <w:rsid w:val="00BC6666"/>
    <w:rsid w:val="00BD01E1"/>
    <w:rsid w:val="00BD0F41"/>
    <w:rsid w:val="00BD39D9"/>
    <w:rsid w:val="00BD6266"/>
    <w:rsid w:val="00BD7A33"/>
    <w:rsid w:val="00BE2640"/>
    <w:rsid w:val="00BE2DFF"/>
    <w:rsid w:val="00BE30C4"/>
    <w:rsid w:val="00BF0A2D"/>
    <w:rsid w:val="00BF423D"/>
    <w:rsid w:val="00BF5326"/>
    <w:rsid w:val="00BF61DA"/>
    <w:rsid w:val="00C009BE"/>
    <w:rsid w:val="00C074E4"/>
    <w:rsid w:val="00C15E66"/>
    <w:rsid w:val="00C246B8"/>
    <w:rsid w:val="00C25998"/>
    <w:rsid w:val="00C36152"/>
    <w:rsid w:val="00C36AD4"/>
    <w:rsid w:val="00C432F7"/>
    <w:rsid w:val="00C510F9"/>
    <w:rsid w:val="00C75C37"/>
    <w:rsid w:val="00C80CB0"/>
    <w:rsid w:val="00C8375C"/>
    <w:rsid w:val="00C84D91"/>
    <w:rsid w:val="00C860C3"/>
    <w:rsid w:val="00C86584"/>
    <w:rsid w:val="00C874F7"/>
    <w:rsid w:val="00C87B8F"/>
    <w:rsid w:val="00CA3A63"/>
    <w:rsid w:val="00CA4BA6"/>
    <w:rsid w:val="00CA7495"/>
    <w:rsid w:val="00CB09D0"/>
    <w:rsid w:val="00CB207D"/>
    <w:rsid w:val="00CB3A55"/>
    <w:rsid w:val="00CB3F2D"/>
    <w:rsid w:val="00CC3B9A"/>
    <w:rsid w:val="00CD1C86"/>
    <w:rsid w:val="00CD3C53"/>
    <w:rsid w:val="00CD7162"/>
    <w:rsid w:val="00CE1466"/>
    <w:rsid w:val="00CF1FD1"/>
    <w:rsid w:val="00CF4A43"/>
    <w:rsid w:val="00CF740B"/>
    <w:rsid w:val="00CF7862"/>
    <w:rsid w:val="00CF7F43"/>
    <w:rsid w:val="00D0504E"/>
    <w:rsid w:val="00D05FCF"/>
    <w:rsid w:val="00D14366"/>
    <w:rsid w:val="00D3410C"/>
    <w:rsid w:val="00D35C54"/>
    <w:rsid w:val="00D362BA"/>
    <w:rsid w:val="00D44C94"/>
    <w:rsid w:val="00D733DF"/>
    <w:rsid w:val="00D75C10"/>
    <w:rsid w:val="00D774A6"/>
    <w:rsid w:val="00D81409"/>
    <w:rsid w:val="00D83864"/>
    <w:rsid w:val="00D86341"/>
    <w:rsid w:val="00D9583C"/>
    <w:rsid w:val="00DB06FC"/>
    <w:rsid w:val="00DB18AF"/>
    <w:rsid w:val="00DC391D"/>
    <w:rsid w:val="00DD01A1"/>
    <w:rsid w:val="00DD0573"/>
    <w:rsid w:val="00DD2616"/>
    <w:rsid w:val="00DD596C"/>
    <w:rsid w:val="00DE13FD"/>
    <w:rsid w:val="00DE179F"/>
    <w:rsid w:val="00DE46C6"/>
    <w:rsid w:val="00DF1E83"/>
    <w:rsid w:val="00DF502A"/>
    <w:rsid w:val="00E03CD4"/>
    <w:rsid w:val="00E03DB1"/>
    <w:rsid w:val="00E17993"/>
    <w:rsid w:val="00E2075A"/>
    <w:rsid w:val="00E22228"/>
    <w:rsid w:val="00E22936"/>
    <w:rsid w:val="00E22C6E"/>
    <w:rsid w:val="00E30315"/>
    <w:rsid w:val="00E31A91"/>
    <w:rsid w:val="00E41DBB"/>
    <w:rsid w:val="00E5145A"/>
    <w:rsid w:val="00E54259"/>
    <w:rsid w:val="00E553F3"/>
    <w:rsid w:val="00E55F75"/>
    <w:rsid w:val="00E620D6"/>
    <w:rsid w:val="00E6331F"/>
    <w:rsid w:val="00E646FD"/>
    <w:rsid w:val="00E672A9"/>
    <w:rsid w:val="00E704F9"/>
    <w:rsid w:val="00E7479A"/>
    <w:rsid w:val="00E77D1A"/>
    <w:rsid w:val="00E839BE"/>
    <w:rsid w:val="00E905A5"/>
    <w:rsid w:val="00E94526"/>
    <w:rsid w:val="00E96E14"/>
    <w:rsid w:val="00EA0417"/>
    <w:rsid w:val="00EA25C2"/>
    <w:rsid w:val="00EA6AC2"/>
    <w:rsid w:val="00EB23E0"/>
    <w:rsid w:val="00EC2059"/>
    <w:rsid w:val="00EC2EB1"/>
    <w:rsid w:val="00EC7A2B"/>
    <w:rsid w:val="00ED4E5B"/>
    <w:rsid w:val="00ED51E7"/>
    <w:rsid w:val="00EF0AA8"/>
    <w:rsid w:val="00EF17C7"/>
    <w:rsid w:val="00EF1D8D"/>
    <w:rsid w:val="00F10432"/>
    <w:rsid w:val="00F1636E"/>
    <w:rsid w:val="00F22597"/>
    <w:rsid w:val="00F24F7A"/>
    <w:rsid w:val="00F37AC9"/>
    <w:rsid w:val="00F4549E"/>
    <w:rsid w:val="00F45AE4"/>
    <w:rsid w:val="00F52A50"/>
    <w:rsid w:val="00F55A35"/>
    <w:rsid w:val="00F6530E"/>
    <w:rsid w:val="00F75E8A"/>
    <w:rsid w:val="00F76FCC"/>
    <w:rsid w:val="00F801BE"/>
    <w:rsid w:val="00F8578A"/>
    <w:rsid w:val="00F906D1"/>
    <w:rsid w:val="00FA644D"/>
    <w:rsid w:val="00FB14B3"/>
    <w:rsid w:val="00FB238A"/>
    <w:rsid w:val="00FB47CA"/>
    <w:rsid w:val="00FC14B9"/>
    <w:rsid w:val="00FC2210"/>
    <w:rsid w:val="00FC29F6"/>
    <w:rsid w:val="00FE523E"/>
    <w:rsid w:val="00FE6C78"/>
    <w:rsid w:val="00FF76F1"/>
    <w:rsid w:val="011A17A1"/>
    <w:rsid w:val="02125449"/>
    <w:rsid w:val="04A53B9E"/>
    <w:rsid w:val="07A4703C"/>
    <w:rsid w:val="08FB4905"/>
    <w:rsid w:val="0C121E33"/>
    <w:rsid w:val="0CAF21F3"/>
    <w:rsid w:val="0CCE6CFB"/>
    <w:rsid w:val="0D8C423F"/>
    <w:rsid w:val="0F3F1AA3"/>
    <w:rsid w:val="0FB70159"/>
    <w:rsid w:val="10F42DEC"/>
    <w:rsid w:val="126018C2"/>
    <w:rsid w:val="129E64D2"/>
    <w:rsid w:val="12EF7AA9"/>
    <w:rsid w:val="15E97E30"/>
    <w:rsid w:val="163914BF"/>
    <w:rsid w:val="19376A6C"/>
    <w:rsid w:val="1A07266D"/>
    <w:rsid w:val="1A3373AA"/>
    <w:rsid w:val="1C93712B"/>
    <w:rsid w:val="1EDB762C"/>
    <w:rsid w:val="1F43515A"/>
    <w:rsid w:val="20D83B05"/>
    <w:rsid w:val="21624BC5"/>
    <w:rsid w:val="22B934C3"/>
    <w:rsid w:val="24D26ABE"/>
    <w:rsid w:val="25CE3392"/>
    <w:rsid w:val="28D264D7"/>
    <w:rsid w:val="29334BBA"/>
    <w:rsid w:val="2B64127E"/>
    <w:rsid w:val="2C4251CA"/>
    <w:rsid w:val="2DB44AB6"/>
    <w:rsid w:val="2FAA36C3"/>
    <w:rsid w:val="2FF01D05"/>
    <w:rsid w:val="30060AC6"/>
    <w:rsid w:val="3A954AAB"/>
    <w:rsid w:val="3A9C4F94"/>
    <w:rsid w:val="3B762441"/>
    <w:rsid w:val="3BBB2282"/>
    <w:rsid w:val="419C4043"/>
    <w:rsid w:val="41F45BD3"/>
    <w:rsid w:val="43EA39CC"/>
    <w:rsid w:val="44054FEB"/>
    <w:rsid w:val="44284F78"/>
    <w:rsid w:val="46940291"/>
    <w:rsid w:val="48EB59A8"/>
    <w:rsid w:val="4A6B3753"/>
    <w:rsid w:val="4D880A75"/>
    <w:rsid w:val="50B70B63"/>
    <w:rsid w:val="5A942C54"/>
    <w:rsid w:val="5B7354A6"/>
    <w:rsid w:val="5C60255B"/>
    <w:rsid w:val="5F964633"/>
    <w:rsid w:val="60F71EA4"/>
    <w:rsid w:val="63F020AF"/>
    <w:rsid w:val="68A57726"/>
    <w:rsid w:val="69113D21"/>
    <w:rsid w:val="6B192F42"/>
    <w:rsid w:val="6C934642"/>
    <w:rsid w:val="6DB24F18"/>
    <w:rsid w:val="76EA2D66"/>
    <w:rsid w:val="77240EDB"/>
    <w:rsid w:val="793673A6"/>
    <w:rsid w:val="79DC0D26"/>
    <w:rsid w:val="7B4306EE"/>
    <w:rsid w:val="7C727FF8"/>
    <w:rsid w:val="7CE805DC"/>
    <w:rsid w:val="7D0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qFormat="1" w:unhideWhenUsed="0" w:uiPriority="0" w:semiHidden="0" w:name="List Bullet"/>
    <w:lsdException w:unhideWhenUsed="0" w:uiPriority="99" w:semiHidden="0" w:name="List Number"/>
    <w:lsdException w:qFormat="1" w:unhideWhenUsed="0" w:uiPriority="0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qFormat="1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5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13">
    <w:name w:val="annotation text"/>
    <w:basedOn w:val="1"/>
    <w:qFormat/>
    <w:uiPriority w:val="99"/>
  </w:style>
  <w:style w:type="paragraph" w:styleId="14">
    <w:name w:val="Body Text"/>
    <w:basedOn w:val="1"/>
    <w:qFormat/>
    <w:uiPriority w:val="0"/>
    <w:pPr>
      <w:spacing w:after="120"/>
    </w:pPr>
    <w:rPr>
      <w:sz w:val="24"/>
      <w:szCs w:val="20"/>
      <w:lang w:eastAsia="en-US"/>
    </w:rPr>
  </w:style>
  <w:style w:type="paragraph" w:styleId="15">
    <w:name w:val="Body Text Indent"/>
    <w:basedOn w:val="1"/>
    <w:qFormat/>
    <w:uiPriority w:val="0"/>
    <w:pPr>
      <w:adjustRightInd w:val="0"/>
      <w:spacing w:after="120" w:line="360" w:lineRule="atLeast"/>
      <w:ind w:left="420" w:leftChars="200"/>
    </w:pPr>
    <w:rPr>
      <w:sz w:val="24"/>
      <w:szCs w:val="20"/>
    </w:rPr>
  </w:style>
  <w:style w:type="paragraph" w:styleId="16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17">
    <w:name w:val="Block Text"/>
    <w:basedOn w:val="1"/>
    <w:qFormat/>
    <w:uiPriority w:val="0"/>
    <w:pPr>
      <w:ind w:left="-90" w:right="-108"/>
    </w:pPr>
    <w:rPr>
      <w:szCs w:val="20"/>
      <w:lang w:val="en-GB" w:eastAsia="en-US"/>
    </w:rPr>
  </w:style>
  <w:style w:type="paragraph" w:styleId="18">
    <w:name w:val="toc 3"/>
    <w:basedOn w:val="1"/>
    <w:next w:val="1"/>
    <w:qFormat/>
    <w:uiPriority w:val="0"/>
    <w:pPr>
      <w:ind w:left="840" w:leftChars="400"/>
    </w:pPr>
    <w:rPr>
      <w:szCs w:val="20"/>
    </w:rPr>
  </w:style>
  <w:style w:type="paragraph" w:styleId="19">
    <w:name w:val="Plain Text"/>
    <w:basedOn w:val="1"/>
    <w:link w:val="39"/>
    <w:unhideWhenUsed/>
    <w:qFormat/>
    <w:uiPriority w:val="0"/>
    <w:rPr>
      <w:rFonts w:ascii="宋体" w:hAnsi="Courier New"/>
      <w:szCs w:val="20"/>
    </w:rPr>
  </w:style>
  <w:style w:type="paragraph" w:styleId="20">
    <w:name w:val="Date"/>
    <w:basedOn w:val="1"/>
    <w:next w:val="1"/>
    <w:qFormat/>
    <w:uiPriority w:val="0"/>
    <w:pPr>
      <w:ind w:left="100" w:leftChars="2500"/>
    </w:pPr>
  </w:style>
  <w:style w:type="paragraph" w:styleId="21">
    <w:name w:val="Balloon Text"/>
    <w:basedOn w:val="1"/>
    <w:qFormat/>
    <w:uiPriority w:val="0"/>
    <w:rPr>
      <w:sz w:val="18"/>
      <w:szCs w:val="20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3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spacing w:before="120" w:after="120"/>
    </w:pPr>
    <w:rPr>
      <w:b/>
      <w:caps/>
      <w:sz w:val="20"/>
      <w:szCs w:val="20"/>
    </w:rPr>
  </w:style>
  <w:style w:type="paragraph" w:styleId="25">
    <w:name w:val="Subtitle"/>
    <w:basedOn w:val="1"/>
    <w:link w:val="6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toc 2"/>
    <w:basedOn w:val="1"/>
    <w:next w:val="1"/>
    <w:qFormat/>
    <w:uiPriority w:val="39"/>
    <w:pPr>
      <w:ind w:left="420" w:leftChars="200"/>
    </w:pPr>
    <w:rPr>
      <w:szCs w:val="20"/>
    </w:rPr>
  </w:style>
  <w:style w:type="paragraph" w:styleId="27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  <w:szCs w:val="20"/>
    </w:rPr>
  </w:style>
  <w:style w:type="paragraph" w:styleId="29">
    <w:name w:val="Title"/>
    <w:basedOn w:val="1"/>
    <w:link w:val="6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30">
    <w:name w:val="Body Text First Indent"/>
    <w:basedOn w:val="14"/>
    <w:qFormat/>
    <w:uiPriority w:val="0"/>
    <w:pPr>
      <w:widowControl w:val="0"/>
      <w:ind w:firstLine="420" w:firstLineChars="100"/>
      <w:jc w:val="both"/>
    </w:pPr>
    <w:rPr>
      <w:kern w:val="2"/>
      <w:sz w:val="21"/>
      <w:szCs w:val="24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basedOn w:val="33"/>
    <w:qFormat/>
    <w:uiPriority w:val="22"/>
    <w:rPr>
      <w:b/>
      <w:bCs/>
      <w:color w:val="auto"/>
    </w:rPr>
  </w:style>
  <w:style w:type="character" w:styleId="35">
    <w:name w:val="page number"/>
    <w:basedOn w:val="33"/>
    <w:qFormat/>
    <w:uiPriority w:val="0"/>
  </w:style>
  <w:style w:type="character" w:styleId="36">
    <w:name w:val="Emphasis"/>
    <w:basedOn w:val="33"/>
    <w:qFormat/>
    <w:uiPriority w:val="20"/>
    <w:rPr>
      <w:i/>
      <w:iCs/>
      <w:color w:val="auto"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annotation reference"/>
    <w:qFormat/>
    <w:uiPriority w:val="0"/>
    <w:rPr>
      <w:sz w:val="16"/>
    </w:rPr>
  </w:style>
  <w:style w:type="character" w:customStyle="1" w:styleId="39">
    <w:name w:val="纯文本 字符"/>
    <w:link w:val="19"/>
    <w:qFormat/>
    <w:uiPriority w:val="0"/>
    <w:rPr>
      <w:rFonts w:ascii="宋体" w:hAnsi="Courier New"/>
      <w:kern w:val="2"/>
      <w:sz w:val="21"/>
    </w:rPr>
  </w:style>
  <w:style w:type="character" w:customStyle="1" w:styleId="40">
    <w:name w:val="页眉 字符"/>
    <w:link w:val="2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1">
    <w:name w:val="Text Char"/>
    <w:link w:val="42"/>
    <w:qFormat/>
    <w:uiPriority w:val="0"/>
    <w:rPr>
      <w:rFonts w:ascii="宋体" w:hAnsi="宋体" w:eastAsia="宋体"/>
      <w:sz w:val="24"/>
      <w:lang w:val="en-US" w:eastAsia="en-US" w:bidi="ar-SA"/>
    </w:rPr>
  </w:style>
  <w:style w:type="paragraph" w:customStyle="1" w:styleId="42">
    <w:name w:val="Text"/>
    <w:basedOn w:val="1"/>
    <w:link w:val="41"/>
    <w:qFormat/>
    <w:uiPriority w:val="0"/>
    <w:pPr>
      <w:spacing w:before="120"/>
    </w:pPr>
    <w:rPr>
      <w:rFonts w:ascii="宋体" w:hAnsi="宋体"/>
      <w:sz w:val="24"/>
      <w:szCs w:val="20"/>
      <w:lang w:eastAsia="en-US"/>
    </w:rPr>
  </w:style>
  <w:style w:type="paragraph" w:customStyle="1" w:styleId="43">
    <w:name w:val="Char Char Char Char Char Char Char"/>
    <w:basedOn w:val="1"/>
    <w:qFormat/>
    <w:uiPriority w:val="0"/>
    <w:rPr>
      <w:szCs w:val="20"/>
    </w:rPr>
  </w:style>
  <w:style w:type="paragraph" w:customStyle="1" w:styleId="44">
    <w:name w:val="Párrafo"/>
    <w:basedOn w:val="1"/>
    <w:qFormat/>
    <w:uiPriority w:val="0"/>
    <w:pPr>
      <w:adjustRightInd w:val="0"/>
      <w:spacing w:after="120" w:line="360" w:lineRule="atLeast"/>
      <w:ind w:left="539"/>
    </w:pPr>
    <w:rPr>
      <w:rFonts w:ascii="Verdana" w:hAnsi="Verdana"/>
      <w:sz w:val="18"/>
      <w:szCs w:val="20"/>
      <w:lang w:val="en-GB" w:eastAsia="es-ES"/>
    </w:rPr>
  </w:style>
  <w:style w:type="paragraph" w:customStyle="1" w:styleId="45">
    <w:name w:val="Heading Left"/>
    <w:basedOn w:val="1"/>
    <w:qFormat/>
    <w:uiPriority w:val="0"/>
    <w:pPr>
      <w:tabs>
        <w:tab w:val="center" w:pos="4820"/>
        <w:tab w:val="right" w:pos="9639"/>
      </w:tabs>
      <w:spacing w:before="120" w:after="120"/>
    </w:pPr>
    <w:rPr>
      <w:rFonts w:ascii="Arial" w:hAnsi="Arial"/>
      <w:b/>
      <w:caps/>
      <w:sz w:val="24"/>
      <w:szCs w:val="20"/>
      <w:lang w:val="en-GB" w:eastAsia="en-US"/>
    </w:rPr>
  </w:style>
  <w:style w:type="paragraph" w:customStyle="1" w:styleId="46">
    <w:name w:val="Table Text"/>
    <w:basedOn w:val="1"/>
    <w:qFormat/>
    <w:uiPriority w:val="0"/>
    <w:pPr>
      <w:spacing w:before="20" w:after="20"/>
    </w:pPr>
    <w:rPr>
      <w:rFonts w:ascii="Arial" w:hAnsi="Arial"/>
      <w:szCs w:val="20"/>
      <w:lang w:val="en-AU" w:eastAsia="en-US"/>
    </w:rPr>
  </w:style>
  <w:style w:type="paragraph" w:customStyle="1" w:styleId="47">
    <w:name w:val="Char"/>
    <w:basedOn w:val="1"/>
    <w:qFormat/>
    <w:uiPriority w:val="0"/>
  </w:style>
  <w:style w:type="character" w:customStyle="1" w:styleId="48">
    <w:name w:val="Style Heading 1 + (Asian) 宋体 Char"/>
    <w:link w:val="49"/>
    <w:qFormat/>
    <w:uiPriority w:val="0"/>
    <w:rPr>
      <w:sz w:val="24"/>
      <w:szCs w:val="24"/>
    </w:rPr>
  </w:style>
  <w:style w:type="paragraph" w:customStyle="1" w:styleId="49">
    <w:name w:val="Style Heading 1 + (Asian) 宋体"/>
    <w:basedOn w:val="2"/>
    <w:link w:val="48"/>
    <w:qFormat/>
    <w:uiPriority w:val="0"/>
    <w:pPr>
      <w:keepLines w:val="0"/>
      <w:tabs>
        <w:tab w:val="left" w:pos="360"/>
        <w:tab w:val="left" w:pos="420"/>
        <w:tab w:val="left" w:pos="720"/>
      </w:tabs>
      <w:spacing w:before="60" w:after="60" w:line="260" w:lineRule="atLeast"/>
      <w:ind w:left="279" w:hanging="360"/>
    </w:pPr>
    <w:rPr>
      <w:b/>
      <w:bCs/>
      <w:sz w:val="24"/>
      <w:szCs w:val="24"/>
    </w:rPr>
  </w:style>
  <w:style w:type="paragraph" w:styleId="50">
    <w:name w:val="List Paragraph"/>
    <w:basedOn w:val="1"/>
    <w:link w:val="51"/>
    <w:qFormat/>
    <w:uiPriority w:val="34"/>
    <w:pPr>
      <w:ind w:firstLine="420" w:firstLineChars="200"/>
    </w:pPr>
  </w:style>
  <w:style w:type="character" w:customStyle="1" w:styleId="51">
    <w:name w:val="列出段落 字符"/>
    <w:link w:val="50"/>
    <w:qFormat/>
    <w:uiPriority w:val="0"/>
  </w:style>
  <w:style w:type="paragraph" w:customStyle="1" w:styleId="52">
    <w:name w:val="_Style 40"/>
    <w:basedOn w:val="2"/>
    <w:unhideWhenUsed/>
    <w:qFormat/>
    <w:uiPriority w:val="39"/>
    <w:pPr>
      <w:outlineLvl w:val="9"/>
    </w:pPr>
    <w:rPr>
      <w:rFonts w:ascii="等线 Light" w:hAnsi="等线 Light" w:eastAsia="等线 Light"/>
      <w:b/>
      <w:bCs/>
      <w:color w:val="2E74B5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4">
    <w:name w:val="标题 1 字符"/>
    <w:basedOn w:val="3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55">
    <w:name w:val="标题 2 字符"/>
    <w:basedOn w:val="33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character" w:customStyle="1" w:styleId="56">
    <w:name w:val="标题 3 字符"/>
    <w:basedOn w:val="33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57">
    <w:name w:val="标题 4 字符"/>
    <w:basedOn w:val="33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58">
    <w:name w:val="标题 5 字符"/>
    <w:basedOn w:val="33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59">
    <w:name w:val="标题 6 字符"/>
    <w:basedOn w:val="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60">
    <w:name w:val="标题 7 字符"/>
    <w:basedOn w:val="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61">
    <w:name w:val="标题 8 字符"/>
    <w:basedOn w:val="33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2">
    <w:name w:val="标题 9 字符"/>
    <w:basedOn w:val="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3">
    <w:name w:val="标题 字符"/>
    <w:basedOn w:val="33"/>
    <w:link w:val="29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64">
    <w:name w:val="副标题 字符"/>
    <w:basedOn w:val="33"/>
    <w:link w:val="25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66">
    <w:name w:val="Quote"/>
    <w:basedOn w:val="1"/>
    <w:link w:val="67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7">
    <w:name w:val="引用 字符"/>
    <w:basedOn w:val="33"/>
    <w:link w:val="6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8">
    <w:name w:val="Intense Quote"/>
    <w:basedOn w:val="1"/>
    <w:link w:val="69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9">
    <w:name w:val="明显引用 字符"/>
    <w:basedOn w:val="33"/>
    <w:link w:val="68"/>
    <w:qFormat/>
    <w:uiPriority w:val="30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0">
    <w:name w:val="不明显强调1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1">
    <w:name w:val="明显强调1"/>
    <w:basedOn w:val="33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2">
    <w:name w:val="不明显参考1"/>
    <w:basedOn w:val="33"/>
    <w:qFormat/>
    <w:uiPriority w:val="31"/>
    <w:rPr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明显参考1"/>
    <w:basedOn w:val="33"/>
    <w:qFormat/>
    <w:uiPriority w:val="32"/>
    <w:rPr>
      <w:b/>
      <w:bC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74">
    <w:name w:val="书籍标题1"/>
    <w:basedOn w:val="33"/>
    <w:qFormat/>
    <w:uiPriority w:val="33"/>
    <w:rPr>
      <w:b/>
      <w:bCs/>
      <w:i/>
      <w:iCs/>
      <w:spacing w:val="5"/>
    </w:rPr>
  </w:style>
  <w:style w:type="paragraph" w:customStyle="1" w:styleId="75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76">
    <w:name w:val="articlecontent"/>
    <w:basedOn w:val="3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5478</Words>
  <Characters>6251</Characters>
  <Lines>71</Lines>
  <Paragraphs>20</Paragraphs>
  <TotalTime>0</TotalTime>
  <ScaleCrop>false</ScaleCrop>
  <LinksUpToDate>false</LinksUpToDate>
  <CharactersWithSpaces>6309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2025-04-10T09:27:00Z</dcterms:created>
  <dc:creator>谢文杰</dc:creator>
  <cp:lastModifiedBy>安静</cp:lastModifiedBy>
  <dcterms:modified xsi:type="dcterms:W3CDTF">2026-01-29T11:00:06Z</dcterms:modified>
  <dc:title>深圳市卫武光明生物制品有限公司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596157FB5216457D83775EE0F194A5A8_13</vt:lpwstr>
  </property>
  <property fmtid="{D5CDD505-2E9C-101B-9397-08002B2CF9AE}" pid="4" name="KSOTemplateDocerSaveRecord">
    <vt:lpwstr>eyJoZGlkIjoiNGY0NDIwMDk3ZGFmNTA0MjQyYWQ1MDMyMmIxMDBmMjYiLCJ1c2VySWQiOiI5MzQzMzgwIn0=</vt:lpwstr>
  </property>
</Properties>
</file>